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  <w:jc w:val="center"/>
      </w:pPr>
      <w:r>
        <w:rPr>
          <w:b/>
          <w:bCs/>
          <w:color w:val="1F3864"/>
          <w:sz w:val="30"/>
          <w:szCs w:val="30"/>
        </w:rPr>
        <w:t xml:space="preserve">COATING (PAINT) SPECIFICATION SHEET</w:t>
      </w:r>
    </w:p>
    <w:p>
      <w:pPr>
        <w:spacing w:after="40"/>
        <w:jc w:val="center"/>
      </w:pPr>
      <w:r>
        <w:rPr>
          <w:b/>
          <w:bCs/>
          <w:sz w:val="24"/>
          <w:szCs w:val="24"/>
        </w:rPr>
        <w:t xml:space="preserve">R/V MEDEIA</w:t>
      </w:r>
    </w:p>
    <w:p>
      <w:pPr>
        <w:pBdr>
          <w:bottom w:val="single" w:color="1F3864" w:sz="12" w:space="8"/>
        </w:pBdr>
        <w:spacing w:after="160"/>
        <w:jc w:val="center"/>
      </w:pPr>
      <w:r>
        <w:rPr>
          <w:i/>
          <w:iCs/>
          <w:color w:val="555555"/>
          <w:sz w:val="20"/>
          <w:szCs w:val="20"/>
        </w:rPr>
        <w:t xml:space="preserve">PPG / Ameron Protective &amp; Marine Coatings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680"/>
        <w:gridCol w:w="2000"/>
        <w:gridCol w:w="2680"/>
      </w:tblGrid>
      <w:tr>
        <w:trPr>
          <w:tblHeader/>
        </w:trPr>
        <w:tc>
          <w:tcPr>
            <w:tcW w:type="dxa" w:w="2000"/>
            <w:shd w:fill="1F3864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Vessel</w:t>
            </w:r>
          </w:p>
        </w:tc>
        <w:tc>
          <w:tcPr>
            <w:tcW w:type="dxa" w:w="2680"/>
            <w:shd w:fill="1F3864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R/V Medeia</w:t>
            </w:r>
          </w:p>
        </w:tc>
        <w:tc>
          <w:tcPr>
            <w:tcW w:type="dxa" w:w="2000"/>
            <w:shd w:fill="1F3864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2680"/>
            <w:shd w:fill="1F3864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August 7, 2026</w:t>
            </w:r>
          </w:p>
        </w:tc>
      </w:tr>
      <w:tr>
        <w:trPr>
          <w:tblHeader w:val="false"/>
        </w:trPr>
        <w:tc>
          <w:tcPr>
            <w:tcW w:type="dxa" w:w="200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Coating supplier</w:t>
            </w:r>
          </w:p>
        </w:tc>
        <w:tc>
          <w:tcPr>
            <w:tcW w:type="dxa" w:w="268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PPG / Ameron (PMC)</w:t>
            </w:r>
          </w:p>
        </w:tc>
        <w:tc>
          <w:tcPr>
            <w:tcW w:type="dxa" w:w="200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Spec rev.</w:t>
            </w:r>
          </w:p>
        </w:tc>
        <w:tc>
          <w:tcPr>
            <w:tcW w:type="dxa" w:w="268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Draft 1</w:t>
            </w:r>
          </w:p>
        </w:tc>
      </w:tr>
      <w:tr>
        <w:trPr>
          <w:tblHeader w:val="false"/>
        </w:trPr>
        <w:tc>
          <w:tcPr>
            <w:tcW w:type="dxa" w:w="200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Application method</w:t>
            </w:r>
          </w:p>
        </w:tc>
        <w:tc>
          <w:tcPr>
            <w:tcW w:type="dxa" w:w="268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Airless spray (brush/roll for stripe &amp; touch-up)</w:t>
            </w:r>
          </w:p>
        </w:tc>
        <w:tc>
          <w:tcPr>
            <w:tcW w:type="dxa" w:w="200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DFT gauge</w:t>
            </w:r>
          </w:p>
        </w:tc>
        <w:tc>
          <w:tcPr>
            <w:tcW w:type="dxa" w:w="268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Per SSPC-PA 2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1F3864"/>
        </w:rPr>
        <w:t xml:space="preserve">1.  Scope</w:t>
      </w:r>
    </w:p>
    <w:p>
      <w:pPr>
        <w:spacing w:after="120" w:before="0"/>
      </w:pPr>
      <w:r>
        <w:rPr>
          <w:b/>
          <w:bCs/>
        </w:rPr>
        <w:t xml:space="preserve">Covers surface preparation and coating build for the R/V Medeia across two service environments: </w:t>
      </w:r>
      <w:r>
        <w:t xml:space="preserve">(A) </w:t>
      </w:r>
      <w:r>
        <w:rPr>
          <w:b/>
          <w:bCs/>
        </w:rPr>
        <w:t xml:space="preserve">above-waterline</w:t>
      </w:r>
      <w:r>
        <w:t xml:space="preserve"> atmospheric surfaces — hull topsides, superstructure/deckhouse, and weather decks; and (B) </w:t>
      </w:r>
      <w:r>
        <w:rPr>
          <w:b/>
          <w:bCs/>
        </w:rPr>
        <w:t xml:space="preserve">below-waterline</w:t>
      </w:r>
      <w:r>
        <w:t xml:space="preserve"> immersed surfaces — the bottom / underwater hull. All preparation, mixing, thinning, application, and cure shall conform to the current PPG/Ameron Product Data Sheets (PDS), which govern in case of conflict with this summary.</w:t>
      </w:r>
    </w:p>
    <w:p>
      <w:pPr>
        <w:spacing w:after="120" w:before="0"/>
      </w:pPr>
      <w:r>
        <w:rPr>
          <w:b/>
          <w:bCs/>
        </w:rPr>
        <w:t xml:space="preserve">Product identification note: </w:t>
      </w:r>
      <w:r>
        <w:t xml:space="preserve">“Ameron 302” is specified here as </w:t>
      </w:r>
      <w:r>
        <w:rPr>
          <w:b/>
          <w:bCs/>
        </w:rPr>
        <w:t xml:space="preserve">Dimetcote 302 H</w:t>
      </w:r>
      <w:r>
        <w:t xml:space="preserve"> (Ameron/PPG reinforced inorganic-zinc primer) — PPG’s zinc-primer line. Confirm before issue if a different product was intended.</w:t>
      </w:r>
    </w:p>
    <w:p>
      <w:pPr>
        <w:pStyle w:val="Heading1"/>
        <w:spacing w:after="120" w:before="240"/>
      </w:pPr>
      <w:r>
        <w:rPr>
          <w:b/>
          <w:bCs/>
          <w:color w:val="1F3864"/>
        </w:rPr>
        <w:t xml:space="preserve">2.  Surface Preparation Standards</w:t>
      </w:r>
    </w:p>
    <w:p>
      <w:pPr>
        <w:spacing w:after="120" w:before="0"/>
      </w:pPr>
      <w:r>
        <w:rPr>
          <w:b/>
          <w:bCs/>
        </w:rPr>
        <w:t xml:space="preserve">Governing rule: </w:t>
      </w:r>
      <w:r>
        <w:t xml:space="preserve">surface preparation follows the minimum requirements of the applicable Ameron PDS. Solvent-clean all surfaces to SSPC-SP1 (remove oil, grease, salts) before any mechanical prep. Remove weld spatter, round sharp edges, and grind smooth per SSPC-SP2/SP3 as needed.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6760"/>
      </w:tblGrid>
      <w:tr>
        <w:trPr>
          <w:tblHeader/>
        </w:trPr>
        <w:tc>
          <w:tcPr>
            <w:tcW w:type="dxa" w:w="2600"/>
            <w:shd w:fill="1F3864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Condition</w:t>
            </w:r>
          </w:p>
        </w:tc>
        <w:tc>
          <w:tcPr>
            <w:tcW w:type="dxa" w:w="6760"/>
            <w:shd w:fill="1F3864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Standard (per Ameron PDS minimum)</w:t>
            </w:r>
          </w:p>
        </w:tc>
      </w:tr>
      <w:tr>
        <w:trPr>
          <w:tblHeader w:val="false"/>
        </w:trPr>
        <w:tc>
          <w:tcPr>
            <w:tcW w:type="dxa" w:w="260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/>
                <w:bCs/>
              </w:rPr>
              <w:t xml:space="preserve">Bare mild steel</w:t>
            </w:r>
          </w:p>
          <w:p>
            <w:pPr>
              <w:spacing w:after="20" w:before="0"/>
            </w:pPr>
            <w:r>
              <w:t xml:space="preserve">above waterline (under Dimetcote 302 H)</w:t>
            </w:r>
          </w:p>
        </w:tc>
        <w:tc>
          <w:tcPr>
            <w:tcW w:type="dxa" w:w="676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SSPC-SP6 / NACE No. 3 (Commercial Blast) minimum; angular anchor profile 1.5–3.0 mils (5.0 mils max). Near-white SSPC-SP10 recommended on new steel for best service life.</w:t>
            </w:r>
          </w:p>
        </w:tc>
      </w:tr>
      <w:tr>
        <w:trPr>
          <w:tblHeader w:val="false"/>
        </w:trPr>
        <w:tc>
          <w:tcPr>
            <w:tcW w:type="dxa" w:w="260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/>
                <w:bCs/>
              </w:rPr>
              <w:t xml:space="preserve">Bare mild steel</w:t>
            </w:r>
          </w:p>
          <w:p>
            <w:pPr>
              <w:spacing w:after="20" w:before="0"/>
            </w:pPr>
            <w:r>
              <w:t xml:space="preserve">below waterline (under Amercoat 235, immersion)</w:t>
            </w:r>
          </w:p>
        </w:tc>
        <w:tc>
          <w:tcPr>
            <w:tcW w:type="dxa" w:w="676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SSPC-SP10 / NACE No. 2 (Near-White Blast); angular anchor profile 2.0–4.0 mils — required for immersion / tank-lining service per Amercoat 235 PDS.</w:t>
            </w:r>
          </w:p>
        </w:tc>
      </w:tr>
      <w:tr>
        <w:trPr>
          <w:tblHeader w:val="false"/>
        </w:trPr>
        <w:tc>
          <w:tcPr>
            <w:tcW w:type="dxa" w:w="260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/>
                <w:bCs/>
              </w:rPr>
              <w:t xml:space="preserve">Disturbed / damaged /</w:t>
            </w:r>
          </w:p>
          <w:p>
            <w:pPr>
              <w:spacing w:after="20" w:before="0"/>
            </w:pPr>
            <w:r>
              <w:t xml:space="preserve">previously-coated areas</w:t>
            </w:r>
          </w:p>
        </w:tc>
        <w:tc>
          <w:tcPr>
            <w:tcW w:type="dxa" w:w="676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SP1 solvent-clean, then restore to the original prep standard by spot abrasive blast where feasible. Where blasting is not feasible, power-tool clean to bare metal to SSPC-SP11 (produces a surface profile). Feather / abrade the edges of surrounding sound coating and remove all dust and residue before recoating.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1F3864"/>
        </w:rPr>
        <w:t xml:space="preserve">3.  Application &amp; Environmental Conditions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sz w:val="20"/>
          <w:szCs w:val="20"/>
        </w:rPr>
        <w:t xml:space="preserve">Substrate temperature at least 5°F (3°C) above the dew point and rising during application and cure.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sz w:val="20"/>
          <w:szCs w:val="20"/>
        </w:rPr>
        <w:t xml:space="preserve">Relative humidity below 85%; do not apply to damp or contaminated surfaces.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sz w:val="20"/>
          <w:szCs w:val="20"/>
        </w:rPr>
        <w:t xml:space="preserve">Observe each product’s minimum/maximum application and substrate temperatures per its PDS. Dimetcote 302 H (inorganic zinc) requires ambient moisture to cure fully before topcoating.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sz w:val="20"/>
          <w:szCs w:val="20"/>
        </w:rPr>
        <w:t xml:space="preserve">Verify DFT of each coat per SSPC-PA 2 before applying the next.</w:t>
      </w:r>
    </w:p>
    <w:p>
      <w:pPr>
        <w:pStyle w:val="Heading1"/>
        <w:spacing w:after="120" w:before="240"/>
      </w:pPr>
      <w:r>
        <w:rPr>
          <w:b/>
          <w:bCs/>
          <w:color w:val="1F3864"/>
        </w:rPr>
        <w:t xml:space="preserve">4.  System A — Above-Waterline (Topsides, Superstructure, Decks)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40"/>
        <w:gridCol w:w="1760"/>
        <w:gridCol w:w="1560"/>
        <w:gridCol w:w="1760"/>
        <w:gridCol w:w="1240"/>
        <w:gridCol w:w="2600"/>
      </w:tblGrid>
      <w:tr>
        <w:trPr>
          <w:tblHeader/>
        </w:trPr>
        <w:tc>
          <w:tcPr>
            <w:tcW w:type="dxa" w:w="440"/>
            <w:shd w:fill="1F3864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1760"/>
            <w:shd w:fill="1F3864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Coat / Step</w:t>
            </w:r>
          </w:p>
        </w:tc>
        <w:tc>
          <w:tcPr>
            <w:tcW w:type="dxa" w:w="1560"/>
            <w:shd w:fill="1F3864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Product</w:t>
            </w:r>
          </w:p>
        </w:tc>
        <w:tc>
          <w:tcPr>
            <w:tcW w:type="dxa" w:w="1760"/>
            <w:shd w:fill="1F3864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Generic Type</w:t>
            </w:r>
          </w:p>
        </w:tc>
        <w:tc>
          <w:tcPr>
            <w:tcW w:type="dxa" w:w="1240"/>
            <w:shd w:fill="1F3864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DFT/coat (mils)</w:t>
            </w:r>
          </w:p>
        </w:tc>
        <w:tc>
          <w:tcPr>
            <w:tcW w:type="dxa" w:w="2600"/>
            <w:shd w:fill="1F3864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Notes</w:t>
            </w:r>
          </w:p>
        </w:tc>
      </w:tr>
      <w:tr>
        <w:trPr>
          <w:tblHeader w:val="false"/>
        </w:trPr>
        <w:tc>
          <w:tcPr>
            <w:tcW w:type="dxa" w:w="44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type="dxa" w:w="176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Primer (DTM)</w:t>
            </w:r>
          </w:p>
        </w:tc>
        <w:tc>
          <w:tcPr>
            <w:tcW w:type="dxa" w:w="156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Dimetcote 302 H</w:t>
            </w:r>
          </w:p>
        </w:tc>
        <w:tc>
          <w:tcPr>
            <w:tcW w:type="dxa" w:w="176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Inorganic zinc</w:t>
            </w:r>
          </w:p>
        </w:tc>
        <w:tc>
          <w:tcPr>
            <w:tcW w:type="dxa" w:w="124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2.0–4.0 (3.0 target)</w:t>
            </w:r>
          </w:p>
        </w:tc>
        <w:tc>
          <w:tcPr>
            <w:tcW w:type="dxa" w:w="260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Applied direct to prepared bare steel.</w:t>
            </w:r>
          </w:p>
        </w:tc>
      </w:tr>
      <w:tr>
        <w:trPr>
          <w:tblHeader w:val="false"/>
        </w:trPr>
        <w:tc>
          <w:tcPr>
            <w:tcW w:type="dxa" w:w="44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2</w:t>
            </w:r>
          </w:p>
        </w:tc>
        <w:tc>
          <w:tcPr>
            <w:tcW w:type="dxa" w:w="176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Stripe / mist-tie coat</w:t>
            </w:r>
          </w:p>
        </w:tc>
        <w:tc>
          <w:tcPr>
            <w:tcW w:type="dxa" w:w="156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Amercoat 235</w:t>
            </w:r>
          </w:p>
        </w:tc>
        <w:tc>
          <w:tcPr>
            <w:tcW w:type="dxa" w:w="176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Phenalkamine epoxy</w:t>
            </w:r>
          </w:p>
        </w:tc>
        <w:tc>
          <w:tcPr>
            <w:tcW w:type="dxa" w:w="124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Brush (not in nominal DFT)</w:t>
            </w:r>
          </w:p>
        </w:tc>
        <w:tc>
          <w:tcPr>
            <w:tcW w:type="dxa" w:w="260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Brush-apply to welds, edges, corners, bolt heads. Mist-coat/full-coat technique over the inorganic zinc to minimize bubbling/pinholing (per 235 PDS).</w:t>
            </w:r>
          </w:p>
        </w:tc>
      </w:tr>
      <w:tr>
        <w:trPr>
          <w:tblHeader w:val="false"/>
        </w:trPr>
        <w:tc>
          <w:tcPr>
            <w:tcW w:type="dxa" w:w="44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3</w:t>
            </w:r>
          </w:p>
        </w:tc>
        <w:tc>
          <w:tcPr>
            <w:tcW w:type="dxa" w:w="176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Intermediate coat 1</w:t>
            </w:r>
          </w:p>
        </w:tc>
        <w:tc>
          <w:tcPr>
            <w:tcW w:type="dxa" w:w="156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Amercoat 235</w:t>
            </w:r>
          </w:p>
        </w:tc>
        <w:tc>
          <w:tcPr>
            <w:tcW w:type="dxa" w:w="176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Phenalkamine epoxy</w:t>
            </w:r>
          </w:p>
        </w:tc>
        <w:tc>
          <w:tcPr>
            <w:tcW w:type="dxa" w:w="124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4.0–6.0</w:t>
            </w:r>
          </w:p>
        </w:tc>
        <w:tc>
          <w:tcPr>
            <w:tcW w:type="dxa" w:w="260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Color A.</w:t>
            </w:r>
          </w:p>
        </w:tc>
      </w:tr>
      <w:tr>
        <w:trPr>
          <w:tblHeader w:val="false"/>
        </w:trPr>
        <w:tc>
          <w:tcPr>
            <w:tcW w:type="dxa" w:w="44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4</w:t>
            </w:r>
          </w:p>
        </w:tc>
        <w:tc>
          <w:tcPr>
            <w:tcW w:type="dxa" w:w="176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Intermediate coat 2</w:t>
            </w:r>
          </w:p>
        </w:tc>
        <w:tc>
          <w:tcPr>
            <w:tcW w:type="dxa" w:w="156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Amercoat 235</w:t>
            </w:r>
          </w:p>
        </w:tc>
        <w:tc>
          <w:tcPr>
            <w:tcW w:type="dxa" w:w="176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Phenalkamine epoxy</w:t>
            </w:r>
          </w:p>
        </w:tc>
        <w:tc>
          <w:tcPr>
            <w:tcW w:type="dxa" w:w="124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4.0–6.0</w:t>
            </w:r>
          </w:p>
        </w:tc>
        <w:tc>
          <w:tcPr>
            <w:tcW w:type="dxa" w:w="260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Color B — contrasting with Color A for full-coverage verification.</w:t>
            </w:r>
          </w:p>
        </w:tc>
      </w:tr>
      <w:tr>
        <w:trPr>
          <w:tblHeader w:val="false"/>
        </w:trPr>
        <w:tc>
          <w:tcPr>
            <w:tcW w:type="dxa" w:w="44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5</w:t>
            </w:r>
          </w:p>
        </w:tc>
        <w:tc>
          <w:tcPr>
            <w:tcW w:type="dxa" w:w="176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Finish coat 1</w:t>
            </w:r>
          </w:p>
        </w:tc>
        <w:tc>
          <w:tcPr>
            <w:tcW w:type="dxa" w:w="156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PSX 700</w:t>
            </w:r>
          </w:p>
        </w:tc>
        <w:tc>
          <w:tcPr>
            <w:tcW w:type="dxa" w:w="176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Engineered siloxane</w:t>
            </w:r>
          </w:p>
        </w:tc>
        <w:tc>
          <w:tcPr>
            <w:tcW w:type="dxa" w:w="124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3.0–5.0</w:t>
            </w:r>
          </w:p>
        </w:tc>
        <w:tc>
          <w:tcPr>
            <w:tcW w:type="dxa" w:w="260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Per finish color schedule.</w:t>
            </w:r>
          </w:p>
        </w:tc>
      </w:tr>
      <w:tr>
        <w:trPr>
          <w:tblHeader w:val="false"/>
        </w:trPr>
        <w:tc>
          <w:tcPr>
            <w:tcW w:type="dxa" w:w="44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6</w:t>
            </w:r>
          </w:p>
        </w:tc>
        <w:tc>
          <w:tcPr>
            <w:tcW w:type="dxa" w:w="176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Finish coat 2</w:t>
            </w:r>
          </w:p>
        </w:tc>
        <w:tc>
          <w:tcPr>
            <w:tcW w:type="dxa" w:w="156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PSX 700</w:t>
            </w:r>
          </w:p>
        </w:tc>
        <w:tc>
          <w:tcPr>
            <w:tcW w:type="dxa" w:w="176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Engineered siloxane</w:t>
            </w:r>
          </w:p>
        </w:tc>
        <w:tc>
          <w:tcPr>
            <w:tcW w:type="dxa" w:w="124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3.0–5.0</w:t>
            </w:r>
          </w:p>
        </w:tc>
        <w:tc>
          <w:tcPr>
            <w:tcW w:type="dxa" w:w="260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Final finish color.</w:t>
            </w:r>
          </w:p>
        </w:tc>
      </w:tr>
    </w:tbl>
    <w:p>
      <w:pPr>
        <w:spacing w:after="120" w:before="100"/>
      </w:pPr>
      <w:r>
        <w:rPr>
          <w:b/>
          <w:bCs/>
        </w:rPr>
        <w:t xml:space="preserve">Nominal system DFT: </w:t>
      </w:r>
      <w:r>
        <w:t xml:space="preserve">approx. 16–24 mils (excluding stripe coat).</w:t>
      </w:r>
    </w:p>
    <w:p>
      <w:pPr>
        <w:spacing w:after="120" w:before="0"/>
      </w:pPr>
      <w:r>
        <w:rPr>
          <w:b/>
          <w:bCs/>
        </w:rPr>
        <w:t xml:space="preserve">Recoat windows (≈70–75°F): </w:t>
      </w:r>
      <w:r>
        <w:t xml:space="preserve">Dimetcote 302 H — min 1.5 h, max 3 months (power-wash before topcoating). Amercoat 235 — min 4 h, max 30 days over itself (abrade if exceeded). PSX 700 — min 3 h (20°C), max unlimited.</w:t>
      </w:r>
    </w:p>
    <w:p>
      <w:pPr>
        <w:pStyle w:val="Heading1"/>
        <w:spacing w:after="120" w:before="240"/>
      </w:pPr>
      <w:r>
        <w:rPr>
          <w:b/>
          <w:bCs/>
          <w:color w:val="1F3864"/>
        </w:rPr>
        <w:t xml:space="preserve">5.  System B — Below-Waterline (Bottom / Underwater Hull)</w:t>
      </w:r>
    </w:p>
    <w:p>
      <w:pPr>
        <w:spacing w:after="120" w:before="0"/>
      </w:pPr>
      <w:r>
        <w:rPr>
          <w:b/>
          <w:bCs/>
        </w:rPr>
        <w:t xml:space="preserve">Do NOT use inorganic zinc (Dimetcote 302 H) below the waterline or under antifouling. </w:t>
      </w:r>
      <w:r>
        <w:t xml:space="preserve">Zinc-silicate primers are not recommended for continuous immersion beneath antifoulings. Use an epoxy anticorrosive barrier (Amercoat 235), which is an approved undercoat for ABC 3 antifouling.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40"/>
        <w:gridCol w:w="1760"/>
        <w:gridCol w:w="1560"/>
        <w:gridCol w:w="1760"/>
        <w:gridCol w:w="1240"/>
        <w:gridCol w:w="2600"/>
      </w:tblGrid>
      <w:tr>
        <w:trPr>
          <w:tblHeader/>
        </w:trPr>
        <w:tc>
          <w:tcPr>
            <w:tcW w:type="dxa" w:w="440"/>
            <w:shd w:fill="1F3864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1760"/>
            <w:shd w:fill="1F3864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Coat / Step</w:t>
            </w:r>
          </w:p>
        </w:tc>
        <w:tc>
          <w:tcPr>
            <w:tcW w:type="dxa" w:w="1560"/>
            <w:shd w:fill="1F3864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Product</w:t>
            </w:r>
          </w:p>
        </w:tc>
        <w:tc>
          <w:tcPr>
            <w:tcW w:type="dxa" w:w="1760"/>
            <w:shd w:fill="1F3864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Generic Type</w:t>
            </w:r>
          </w:p>
        </w:tc>
        <w:tc>
          <w:tcPr>
            <w:tcW w:type="dxa" w:w="1240"/>
            <w:shd w:fill="1F3864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DFT/coat (mils)</w:t>
            </w:r>
          </w:p>
        </w:tc>
        <w:tc>
          <w:tcPr>
            <w:tcW w:type="dxa" w:w="2600"/>
            <w:shd w:fill="1F3864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Notes</w:t>
            </w:r>
          </w:p>
        </w:tc>
      </w:tr>
      <w:tr>
        <w:trPr>
          <w:tblHeader w:val="false"/>
        </w:trPr>
        <w:tc>
          <w:tcPr>
            <w:tcW w:type="dxa" w:w="44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type="dxa" w:w="176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Stripe coat</w:t>
            </w:r>
          </w:p>
        </w:tc>
        <w:tc>
          <w:tcPr>
            <w:tcW w:type="dxa" w:w="156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Amercoat 235</w:t>
            </w:r>
          </w:p>
        </w:tc>
        <w:tc>
          <w:tcPr>
            <w:tcW w:type="dxa" w:w="176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Phenalkamine epoxy</w:t>
            </w:r>
          </w:p>
        </w:tc>
        <w:tc>
          <w:tcPr>
            <w:tcW w:type="dxa" w:w="124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Brush (not in nominal DFT)</w:t>
            </w:r>
          </w:p>
        </w:tc>
        <w:tc>
          <w:tcPr>
            <w:tcW w:type="dxa" w:w="260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Brush edges, welds, and seams before full coats.</w:t>
            </w:r>
          </w:p>
        </w:tc>
      </w:tr>
      <w:tr>
        <w:trPr>
          <w:tblHeader w:val="false"/>
        </w:trPr>
        <w:tc>
          <w:tcPr>
            <w:tcW w:type="dxa" w:w="44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2</w:t>
            </w:r>
          </w:p>
        </w:tc>
        <w:tc>
          <w:tcPr>
            <w:tcW w:type="dxa" w:w="176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Anticorrosive 1</w:t>
            </w:r>
          </w:p>
        </w:tc>
        <w:tc>
          <w:tcPr>
            <w:tcW w:type="dxa" w:w="156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Amercoat 235</w:t>
            </w:r>
          </w:p>
        </w:tc>
        <w:tc>
          <w:tcPr>
            <w:tcW w:type="dxa" w:w="176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Phenalkamine epoxy</w:t>
            </w:r>
          </w:p>
        </w:tc>
        <w:tc>
          <w:tcPr>
            <w:tcW w:type="dxa" w:w="124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4.0–6.0</w:t>
            </w:r>
          </w:p>
        </w:tc>
        <w:tc>
          <w:tcPr>
            <w:tcW w:type="dxa" w:w="260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Color A. Applied to near-white blasted steel.</w:t>
            </w:r>
          </w:p>
        </w:tc>
      </w:tr>
      <w:tr>
        <w:trPr>
          <w:tblHeader w:val="false"/>
        </w:trPr>
        <w:tc>
          <w:tcPr>
            <w:tcW w:type="dxa" w:w="44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3</w:t>
            </w:r>
          </w:p>
        </w:tc>
        <w:tc>
          <w:tcPr>
            <w:tcW w:type="dxa" w:w="176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Anticorrosive 2</w:t>
            </w:r>
          </w:p>
        </w:tc>
        <w:tc>
          <w:tcPr>
            <w:tcW w:type="dxa" w:w="156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Amercoat 235</w:t>
            </w:r>
          </w:p>
        </w:tc>
        <w:tc>
          <w:tcPr>
            <w:tcW w:type="dxa" w:w="176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Phenalkamine epoxy</w:t>
            </w:r>
          </w:p>
        </w:tc>
        <w:tc>
          <w:tcPr>
            <w:tcW w:type="dxa" w:w="124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4.0–6.0</w:t>
            </w:r>
          </w:p>
        </w:tc>
        <w:tc>
          <w:tcPr>
            <w:tcW w:type="dxa" w:w="260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Color B — contrasting for coverage verification.</w:t>
            </w:r>
          </w:p>
        </w:tc>
      </w:tr>
      <w:tr>
        <w:trPr>
          <w:tblHeader w:val="false"/>
        </w:trPr>
        <w:tc>
          <w:tcPr>
            <w:tcW w:type="dxa" w:w="44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4</w:t>
            </w:r>
          </w:p>
        </w:tc>
        <w:tc>
          <w:tcPr>
            <w:tcW w:type="dxa" w:w="176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Antifouling 1</w:t>
            </w:r>
          </w:p>
        </w:tc>
        <w:tc>
          <w:tcPr>
            <w:tcW w:type="dxa" w:w="156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ABC 3</w:t>
            </w:r>
          </w:p>
        </w:tc>
        <w:tc>
          <w:tcPr>
            <w:tcW w:type="dxa" w:w="176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Tin-free self-polishing antifouling</w:t>
            </w:r>
          </w:p>
        </w:tc>
        <w:tc>
          <w:tcPr>
            <w:tcW w:type="dxa" w:w="124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4.0–6.0</w:t>
            </w:r>
          </w:p>
        </w:tc>
        <w:tc>
          <w:tcPr>
            <w:tcW w:type="dxa" w:w="2600"/>
            <w:shd w:fill="F2F2F2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Over cured Amercoat 235 (within 235 max recoat, or abrade).</w:t>
            </w:r>
          </w:p>
        </w:tc>
      </w:tr>
      <w:tr>
        <w:trPr>
          <w:tblHeader w:val="false"/>
        </w:trPr>
        <w:tc>
          <w:tcPr>
            <w:tcW w:type="dxa" w:w="44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5</w:t>
            </w:r>
          </w:p>
        </w:tc>
        <w:tc>
          <w:tcPr>
            <w:tcW w:type="dxa" w:w="176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Antifouling 2</w:t>
            </w:r>
          </w:p>
        </w:tc>
        <w:tc>
          <w:tcPr>
            <w:tcW w:type="dxa" w:w="156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ABC 3</w:t>
            </w:r>
          </w:p>
        </w:tc>
        <w:tc>
          <w:tcPr>
            <w:tcW w:type="dxa" w:w="176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Tin-free self-polishing antifouling</w:t>
            </w:r>
          </w:p>
        </w:tc>
        <w:tc>
          <w:tcPr>
            <w:tcW w:type="dxa" w:w="124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4.0–6.0</w:t>
            </w:r>
          </w:p>
        </w:tc>
        <w:tc>
          <w:tcPr>
            <w:tcW w:type="dxa" w:w="2600"/>
            <w:shd w:fill="FFFFFF" w:color="auto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20" w:before="20"/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Contrasting / signal color.</w:t>
            </w:r>
          </w:p>
        </w:tc>
      </w:tr>
    </w:tbl>
    <w:p>
      <w:pPr>
        <w:spacing w:after="120" w:before="100"/>
      </w:pPr>
      <w:r>
        <w:rPr>
          <w:b/>
          <w:bCs/>
        </w:rPr>
        <w:t xml:space="preserve">Nominal system DFT: </w:t>
      </w:r>
      <w:r>
        <w:t xml:space="preserve">approx. 16–24 mils (excluding stripe coat).</w:t>
      </w:r>
    </w:p>
    <w:p>
      <w:pPr>
        <w:spacing w:after="120" w:before="0"/>
      </w:pPr>
      <w:r>
        <w:rPr>
          <w:b/>
          <w:bCs/>
        </w:rPr>
        <w:t xml:space="preserve">Recoat windows (≈70–75°F): </w:t>
      </w:r>
      <w:r>
        <w:t xml:space="preserve">Amercoat 235 — min 4 h. ABC 3 — min 5 h over itself; over 235 within the 235 maximum recoat window (abrade if exceeded). Observe launch (dry-to-immersion) time per the ABC 3 PDS.</w:t>
      </w:r>
    </w:p>
    <w:p>
      <w:pPr>
        <w:spacing w:after="120" w:before="0"/>
      </w:pPr>
      <w:r>
        <w:rPr>
          <w:b/>
          <w:bCs/>
        </w:rPr>
        <w:t xml:space="preserve">Boottop / waterline band: </w:t>
      </w:r>
      <w:r>
        <w:t xml:space="preserve">use the Amercoat 235 anticorrosive with an appropriate atmospheric finish (PSX 700), or a dedicated boottop finish, per the yard’s color scheme.</w:t>
      </w:r>
    </w:p>
    <w:p>
      <w:pPr>
        <w:pStyle w:val="Heading1"/>
        <w:spacing w:after="120" w:before="240"/>
      </w:pPr>
      <w:r>
        <w:rPr>
          <w:b/>
          <w:bCs/>
          <w:color w:val="1F3864"/>
        </w:rPr>
        <w:t xml:space="preserve">6.  General Notes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sz w:val="20"/>
          <w:szCs w:val="20"/>
        </w:rPr>
        <w:t xml:space="preserve">Colors: the two Amercoat 235 coats (and the two ABC 3 coats) shall be applied in contrasting/alternating colors so each coat’s coverage can be visually verified. Final PSX 700 finish colors per the vessel color schedule.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sz w:val="20"/>
          <w:szCs w:val="20"/>
        </w:rPr>
        <w:t xml:space="preserve">Decks &amp; walking surfaces: where non-skid is required, incorporate an approved aggregate in the intermediate/finish coat or use a dedicated non-skid system — specify separately.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sz w:val="20"/>
          <w:szCs w:val="20"/>
        </w:rPr>
        <w:t xml:space="preserve">Mixing ratios, induction time, pot life, thinning, and cure/launch times shall follow the current PPG/Ameron PDS for each product.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sz w:val="20"/>
          <w:szCs w:val="20"/>
        </w:rPr>
        <w:t xml:space="preserve">DFT measured per SSPC-PA 2; keep application records (ambient conditions, DFT, batch numbers) for the coating log.</w:t>
      </w:r>
    </w:p>
    <w:p>
      <w:pPr>
        <w:pStyle w:val="Heading1"/>
        <w:spacing w:after="120" w:before="240"/>
      </w:pPr>
      <w:r>
        <w:rPr>
          <w:b/>
          <w:bCs/>
          <w:color w:val="1F3864"/>
        </w:rPr>
        <w:t xml:space="preserve">7.  Manufacturer References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sz w:val="20"/>
          <w:szCs w:val="20"/>
        </w:rPr>
        <w:t xml:space="preserve">PPG Dimetcote 302 H — Product Data Sheet (reinforced inorganic zinc primer).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sz w:val="20"/>
          <w:szCs w:val="20"/>
        </w:rPr>
        <w:t xml:space="preserve">PPG Amercoat 235 — Product Data Sheet, May 1, 2018 (phenalkamine epoxy).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sz w:val="20"/>
          <w:szCs w:val="20"/>
        </w:rPr>
        <w:t xml:space="preserve">PPG PSX 700 — Product Data Sheet, Nov 6, 2023 (engineered siloxane).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sz w:val="20"/>
          <w:szCs w:val="20"/>
        </w:rPr>
        <w:t xml:space="preserve">PPG ABC 3 — Product Data Sheet, May 1, 2018 (tin-free self-polishing antifouling).</w:t>
      </w:r>
    </w:p>
    <w:p>
      <w:pPr>
        <w:pBdr>
          <w:top w:val="single" w:color="D9D9D9" w:sz="6" w:space="6"/>
        </w:pBdr>
        <w:spacing w:before="240"/>
      </w:pPr>
      <w:r>
        <w:rPr>
          <w:i/>
          <w:iCs/>
          <w:color w:val="777777"/>
          <w:sz w:val="16"/>
          <w:szCs w:val="16"/>
        </w:rPr>
        <w:t xml:space="preserve">This specification summarizes manufacturer data for bid/planning use. The current PPG/Ameron Product Data Sheets and Application Instructions govern all work.</w:t>
      </w:r>
    </w:p>
    <w:sectPr>
      <w:pgSz w:w="12240" w:h="15840" w:orient="portrait"/>
      <w:pgMar w:top="1080" w:right="1440" w:bottom="108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360" w:hanging="1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2026-08-07T02:57:22.074Z</dcterms:created>
  <dcterms:modified xsi:type="dcterms:W3CDTF">2026-08-07T02:57:22.092Z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