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8B161" w14:textId="77777777" w:rsidR="009F6C61" w:rsidRDefault="009F6C61" w:rsidP="00775688">
      <w:pPr>
        <w:pStyle w:val="Title"/>
        <w:rPr>
          <w:rFonts w:ascii="Arial" w:hAnsi="Arial" w:cs="Arial"/>
        </w:rPr>
      </w:pPr>
    </w:p>
    <w:p w14:paraId="3469BE77" w14:textId="2931CDEA" w:rsidR="009F6C61" w:rsidRDefault="009F6C61" w:rsidP="00775688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IRFP 72</w:t>
      </w:r>
      <w:r w:rsidR="00B67190">
        <w:rPr>
          <w:rFonts w:ascii="Arial" w:hAnsi="Arial" w:cs="Arial"/>
        </w:rPr>
        <w:t>6</w:t>
      </w:r>
      <w:r>
        <w:rPr>
          <w:rFonts w:ascii="Arial" w:hAnsi="Arial" w:cs="Arial"/>
        </w:rPr>
        <w:t>DVR7</w:t>
      </w:r>
      <w:r w:rsidR="00B67190">
        <w:rPr>
          <w:rFonts w:ascii="Arial" w:hAnsi="Arial" w:cs="Arial"/>
        </w:rPr>
        <w:t>522</w:t>
      </w:r>
    </w:p>
    <w:p w14:paraId="57BCA82E" w14:textId="77777777" w:rsidR="00775688" w:rsidRDefault="00775688" w:rsidP="00775688">
      <w:pPr>
        <w:pStyle w:val="Title"/>
        <w:rPr>
          <w:rFonts w:ascii="Arial" w:hAnsi="Arial" w:cs="Arial"/>
        </w:rPr>
      </w:pPr>
      <w:r w:rsidRPr="00F118D7">
        <w:rPr>
          <w:rFonts w:ascii="Arial" w:hAnsi="Arial" w:cs="Arial"/>
        </w:rPr>
        <w:t>A</w:t>
      </w:r>
      <w:r>
        <w:rPr>
          <w:rFonts w:ascii="Arial" w:hAnsi="Arial" w:cs="Arial"/>
        </w:rPr>
        <w:t>ppendix</w:t>
      </w:r>
      <w:r w:rsidRPr="00F118D7">
        <w:rPr>
          <w:rFonts w:ascii="Arial" w:hAnsi="Arial" w:cs="Arial"/>
        </w:rPr>
        <w:t xml:space="preserve"> V</w:t>
      </w:r>
    </w:p>
    <w:p w14:paraId="7B8CDB74" w14:textId="77777777" w:rsidR="00775688" w:rsidRPr="00F118D7" w:rsidRDefault="00775688" w:rsidP="00775688">
      <w:pPr>
        <w:pStyle w:val="Title"/>
        <w:rPr>
          <w:rFonts w:ascii="Arial" w:hAnsi="Arial" w:cs="Arial"/>
        </w:rPr>
      </w:pPr>
    </w:p>
    <w:p w14:paraId="65CBDCD0" w14:textId="77777777" w:rsidR="00775688" w:rsidRPr="00F118D7" w:rsidRDefault="00775688" w:rsidP="00775688">
      <w:pPr>
        <w:pStyle w:val="Heading1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Business Enterprise Program</w:t>
      </w:r>
    </w:p>
    <w:p w14:paraId="58E2F226" w14:textId="77777777" w:rsidR="00775688" w:rsidRPr="00775688" w:rsidRDefault="00775688" w:rsidP="00775688">
      <w:pPr>
        <w:pStyle w:val="Heading1"/>
        <w:tabs>
          <w:tab w:val="clear" w:pos="4680"/>
        </w:tabs>
        <w:rPr>
          <w:rFonts w:ascii="Times New Roman" w:hAnsi="Times New Roman"/>
          <w:sz w:val="24"/>
          <w:szCs w:val="24"/>
        </w:rPr>
      </w:pPr>
      <w:r w:rsidRPr="00775688">
        <w:rPr>
          <w:rFonts w:ascii="Times New Roman" w:hAnsi="Times New Roman"/>
          <w:sz w:val="24"/>
          <w:szCs w:val="24"/>
        </w:rPr>
        <w:t>Surety Deposit Policy</w:t>
      </w:r>
    </w:p>
    <w:p w14:paraId="15708CCD" w14:textId="77777777" w:rsidR="004B106F" w:rsidRPr="00FC5B54" w:rsidRDefault="004B106F">
      <w:pPr>
        <w:rPr>
          <w:sz w:val="24"/>
          <w:szCs w:val="24"/>
        </w:rPr>
      </w:pPr>
    </w:p>
    <w:p w14:paraId="19D644A7" w14:textId="77777777" w:rsidR="004B106F" w:rsidRPr="00FC5B54" w:rsidRDefault="004B106F">
      <w:pPr>
        <w:rPr>
          <w:sz w:val="24"/>
          <w:szCs w:val="24"/>
        </w:rPr>
      </w:pPr>
    </w:p>
    <w:p w14:paraId="4C148CA4" w14:textId="77777777" w:rsidR="004B106F" w:rsidRPr="00FC5B54" w:rsidRDefault="004B106F">
      <w:pPr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 xml:space="preserve">The manner in which surety deposits are currently calculated for BEP vending machine contracts is </w:t>
      </w:r>
      <w:r w:rsidR="00541F72">
        <w:rPr>
          <w:rFonts w:ascii="Arial" w:hAnsi="Arial"/>
          <w:sz w:val="24"/>
          <w:szCs w:val="24"/>
        </w:rPr>
        <w:t>as follows</w:t>
      </w:r>
      <w:r w:rsidRPr="00FC5B54">
        <w:rPr>
          <w:rFonts w:ascii="Arial" w:hAnsi="Arial"/>
          <w:sz w:val="24"/>
          <w:szCs w:val="24"/>
        </w:rPr>
        <w:t>:</w:t>
      </w:r>
    </w:p>
    <w:p w14:paraId="4B643E7A" w14:textId="77777777" w:rsidR="004B106F" w:rsidRPr="00FC5B54" w:rsidRDefault="004B106F">
      <w:pPr>
        <w:rPr>
          <w:rFonts w:ascii="Arial" w:hAnsi="Arial"/>
          <w:sz w:val="24"/>
          <w:szCs w:val="24"/>
        </w:rPr>
      </w:pPr>
    </w:p>
    <w:p w14:paraId="5FBDB26C" w14:textId="77777777" w:rsidR="004B106F" w:rsidRPr="00FC5B54" w:rsidRDefault="004B106F" w:rsidP="008F063F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>The amount of the surety deposit is based on three-month’s anticipated commissions,</w:t>
      </w:r>
    </w:p>
    <w:p w14:paraId="0B72CCDA" w14:textId="77777777" w:rsidR="004B106F" w:rsidRPr="00FC5B54" w:rsidRDefault="004B106F" w:rsidP="008F063F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>A maximum limit for surety deposits is set at $10,000.</w:t>
      </w:r>
    </w:p>
    <w:p w14:paraId="4E298516" w14:textId="77777777" w:rsidR="004B106F" w:rsidRPr="00FC5B54" w:rsidRDefault="004B106F" w:rsidP="008F063F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>Surety deposit amounts are rounded to the nearest $100.</w:t>
      </w:r>
    </w:p>
    <w:p w14:paraId="29E3782E" w14:textId="77777777" w:rsidR="004B106F" w:rsidRPr="00FC5B54" w:rsidRDefault="004B106F" w:rsidP="008F063F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>Surety deposits are re-evaluated annually when contracts are renewed.</w:t>
      </w:r>
    </w:p>
    <w:p w14:paraId="168658BA" w14:textId="77777777" w:rsidR="004B106F" w:rsidRPr="00FC5B54" w:rsidRDefault="004B106F" w:rsidP="008F063F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>Surety deposits based on anticipated quarterly commissions of more than $5,000 be determined at a flat rate as shown below.</w:t>
      </w:r>
    </w:p>
    <w:p w14:paraId="3B068D25" w14:textId="77777777" w:rsidR="004B106F" w:rsidRPr="00FC5B54" w:rsidRDefault="004B106F" w:rsidP="008F063F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>Contractors with more than one BEP contract pay the surety deposit based on the largest-volume contract with another $500 deposit for each additional city/location.</w:t>
      </w:r>
    </w:p>
    <w:p w14:paraId="0561996A" w14:textId="77777777" w:rsidR="004B106F" w:rsidRPr="00FC5B54" w:rsidRDefault="004B106F" w:rsidP="008F063F">
      <w:pPr>
        <w:numPr>
          <w:ilvl w:val="0"/>
          <w:numId w:val="1"/>
        </w:numPr>
        <w:tabs>
          <w:tab w:val="clear" w:pos="360"/>
          <w:tab w:val="num" w:pos="720"/>
        </w:tabs>
        <w:ind w:left="720"/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>Waivers for the surety deposit are permitted on a case-by-case basis.</w:t>
      </w:r>
    </w:p>
    <w:p w14:paraId="0C472A3D" w14:textId="77777777" w:rsidR="004B106F" w:rsidRDefault="004B106F">
      <w:pPr>
        <w:rPr>
          <w:rFonts w:ascii="Arial" w:hAnsi="Arial"/>
          <w:sz w:val="24"/>
          <w:szCs w:val="24"/>
        </w:rPr>
      </w:pPr>
    </w:p>
    <w:p w14:paraId="212C1884" w14:textId="77777777" w:rsidR="008F063F" w:rsidRPr="00FC5B54" w:rsidRDefault="008F063F">
      <w:pPr>
        <w:rPr>
          <w:rFonts w:ascii="Arial" w:hAnsi="Arial"/>
          <w:sz w:val="24"/>
          <w:szCs w:val="24"/>
        </w:rPr>
      </w:pPr>
    </w:p>
    <w:p w14:paraId="33B535D4" w14:textId="77777777" w:rsidR="004B106F" w:rsidRPr="00FC5B54" w:rsidRDefault="004B106F" w:rsidP="008F063F">
      <w:pPr>
        <w:tabs>
          <w:tab w:val="left" w:pos="5040"/>
        </w:tabs>
        <w:rPr>
          <w:rFonts w:ascii="Arial" w:hAnsi="Arial" w:cs="Arial"/>
          <w:b/>
          <w:sz w:val="24"/>
          <w:szCs w:val="24"/>
        </w:rPr>
      </w:pPr>
      <w:r w:rsidRPr="00FC5B54">
        <w:rPr>
          <w:rFonts w:ascii="Arial" w:hAnsi="Arial" w:cs="Arial"/>
          <w:b/>
          <w:sz w:val="24"/>
          <w:szCs w:val="24"/>
        </w:rPr>
        <w:t>Quarterly Anticipated</w:t>
      </w:r>
      <w:r w:rsidR="008F063F" w:rsidRPr="008F063F">
        <w:rPr>
          <w:rFonts w:ascii="Arial" w:hAnsi="Arial" w:cs="Arial"/>
          <w:sz w:val="24"/>
          <w:szCs w:val="24"/>
        </w:rPr>
        <w:t xml:space="preserve"> </w:t>
      </w:r>
      <w:r w:rsidR="008F063F" w:rsidRPr="008F063F">
        <w:rPr>
          <w:rFonts w:ascii="Arial" w:hAnsi="Arial" w:cs="Arial"/>
          <w:b/>
          <w:sz w:val="24"/>
          <w:szCs w:val="24"/>
        </w:rPr>
        <w:t>Commissions</w:t>
      </w:r>
      <w:r w:rsidRPr="00FC5B54">
        <w:rPr>
          <w:rFonts w:ascii="Arial" w:hAnsi="Arial" w:cs="Arial"/>
          <w:b/>
          <w:sz w:val="24"/>
          <w:szCs w:val="24"/>
        </w:rPr>
        <w:tab/>
        <w:t>Surety Deposit</w:t>
      </w:r>
      <w:r w:rsidR="008F063F" w:rsidRPr="008F063F">
        <w:rPr>
          <w:rFonts w:ascii="Arial" w:hAnsi="Arial" w:cs="Arial"/>
          <w:sz w:val="24"/>
          <w:szCs w:val="24"/>
        </w:rPr>
        <w:t xml:space="preserve"> </w:t>
      </w:r>
      <w:r w:rsidR="008F063F" w:rsidRPr="008F063F">
        <w:rPr>
          <w:rFonts w:ascii="Arial" w:hAnsi="Arial" w:cs="Arial"/>
          <w:b/>
          <w:sz w:val="24"/>
          <w:szCs w:val="24"/>
        </w:rPr>
        <w:t>Calculated By</w:t>
      </w:r>
    </w:p>
    <w:p w14:paraId="49DED07E" w14:textId="77777777" w:rsidR="004B106F" w:rsidRPr="00FC5B54" w:rsidRDefault="004B106F" w:rsidP="008F063F">
      <w:pPr>
        <w:tabs>
          <w:tab w:val="left" w:pos="5040"/>
        </w:tabs>
        <w:ind w:left="5040" w:hanging="5040"/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>0-$5,000 per Quarter</w:t>
      </w:r>
      <w:r w:rsidRPr="00FC5B54">
        <w:rPr>
          <w:rFonts w:ascii="Arial" w:hAnsi="Arial"/>
          <w:sz w:val="24"/>
          <w:szCs w:val="24"/>
        </w:rPr>
        <w:tab/>
        <w:t>Quarterly Anticipated Commissions rounded to nearest $100</w:t>
      </w:r>
    </w:p>
    <w:p w14:paraId="03F160BF" w14:textId="77777777" w:rsidR="004B106F" w:rsidRPr="00FC5B54" w:rsidRDefault="004B106F" w:rsidP="008F063F">
      <w:pPr>
        <w:tabs>
          <w:tab w:val="left" w:pos="5040"/>
        </w:tabs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>$5,001-$10,000 per Quarter</w:t>
      </w:r>
      <w:r w:rsidR="00FC5B54" w:rsidRPr="00FC5B54">
        <w:rPr>
          <w:rFonts w:ascii="Arial" w:hAnsi="Arial"/>
          <w:sz w:val="24"/>
          <w:szCs w:val="24"/>
        </w:rPr>
        <w:tab/>
      </w:r>
      <w:r w:rsidRPr="00FC5B54">
        <w:rPr>
          <w:rFonts w:ascii="Arial" w:hAnsi="Arial"/>
          <w:sz w:val="24"/>
          <w:szCs w:val="24"/>
        </w:rPr>
        <w:t>Flat Rate of $5,000</w:t>
      </w:r>
    </w:p>
    <w:p w14:paraId="5E19333C" w14:textId="77777777" w:rsidR="004B106F" w:rsidRPr="00FC5B54" w:rsidRDefault="004B106F" w:rsidP="008F063F">
      <w:pPr>
        <w:tabs>
          <w:tab w:val="left" w:pos="5040"/>
        </w:tabs>
        <w:rPr>
          <w:rFonts w:ascii="Arial" w:hAnsi="Arial"/>
          <w:sz w:val="24"/>
          <w:szCs w:val="24"/>
        </w:rPr>
      </w:pPr>
      <w:r w:rsidRPr="00FC5B54">
        <w:rPr>
          <w:rFonts w:ascii="Arial" w:hAnsi="Arial"/>
          <w:sz w:val="24"/>
          <w:szCs w:val="24"/>
        </w:rPr>
        <w:t>Above $10,000 per Quarter</w:t>
      </w:r>
      <w:r w:rsidR="00FC5B54" w:rsidRPr="00FC5B54">
        <w:rPr>
          <w:rFonts w:ascii="Arial" w:hAnsi="Arial"/>
          <w:sz w:val="24"/>
          <w:szCs w:val="24"/>
        </w:rPr>
        <w:tab/>
      </w:r>
      <w:r w:rsidRPr="00FC5B54">
        <w:rPr>
          <w:rFonts w:ascii="Arial" w:hAnsi="Arial"/>
          <w:sz w:val="24"/>
          <w:szCs w:val="24"/>
        </w:rPr>
        <w:t>Flat Rate of $10,000</w:t>
      </w:r>
    </w:p>
    <w:p w14:paraId="07CF7950" w14:textId="77777777" w:rsidR="004B106F" w:rsidRPr="00FC5B54" w:rsidRDefault="004B106F">
      <w:pPr>
        <w:rPr>
          <w:sz w:val="24"/>
          <w:szCs w:val="24"/>
        </w:rPr>
      </w:pPr>
    </w:p>
    <w:sectPr w:rsidR="004B106F" w:rsidRPr="00FC5B54" w:rsidSect="00775688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FD16F" w14:textId="77777777" w:rsidR="001A1D8B" w:rsidRDefault="001A1D8B" w:rsidP="003620FF">
      <w:r>
        <w:separator/>
      </w:r>
    </w:p>
  </w:endnote>
  <w:endnote w:type="continuationSeparator" w:id="0">
    <w:p w14:paraId="7B5FFA6D" w14:textId="77777777" w:rsidR="001A1D8B" w:rsidRDefault="001A1D8B" w:rsidP="00362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Type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09505" w14:textId="77777777" w:rsidR="001A1D8B" w:rsidRDefault="001A1D8B" w:rsidP="003620FF">
      <w:r>
        <w:separator/>
      </w:r>
    </w:p>
  </w:footnote>
  <w:footnote w:type="continuationSeparator" w:id="0">
    <w:p w14:paraId="3761EEF7" w14:textId="77777777" w:rsidR="001A1D8B" w:rsidRDefault="001A1D8B" w:rsidP="00362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066DE7"/>
    <w:multiLevelType w:val="singleLevel"/>
    <w:tmpl w:val="04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3692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B54"/>
    <w:rsid w:val="001A1D8B"/>
    <w:rsid w:val="003620FF"/>
    <w:rsid w:val="003829C1"/>
    <w:rsid w:val="004B106F"/>
    <w:rsid w:val="00541F72"/>
    <w:rsid w:val="00775688"/>
    <w:rsid w:val="008F063F"/>
    <w:rsid w:val="00914154"/>
    <w:rsid w:val="009F6C61"/>
    <w:rsid w:val="00B67190"/>
    <w:rsid w:val="00F118D7"/>
    <w:rsid w:val="00FC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267E97"/>
  <w15:chartTrackingRefBased/>
  <w15:docId w15:val="{FD1FD13C-8B39-4378-BB20-3911C2C76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center" w:pos="4680"/>
      </w:tabs>
      <w:jc w:val="center"/>
      <w:outlineLvl w:val="0"/>
    </w:pPr>
    <w:rPr>
      <w:rFonts w:ascii="QuickType" w:hAnsi="QuickType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center" w:pos="4680"/>
      </w:tabs>
      <w:jc w:val="center"/>
    </w:pPr>
    <w:rPr>
      <w:rFonts w:ascii="QuickType" w:hAnsi="QuickType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900</Characters>
  <Application>Microsoft Office Word</Application>
  <DocSecurity>0</DocSecurity>
  <Lines>29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V</vt:lpstr>
    </vt:vector>
  </TitlesOfParts>
  <Company>Department of Education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V</dc:title>
  <dc:subject/>
  <dc:creator>Helen Eckman</dc:creator>
  <cp:keywords/>
  <cp:lastModifiedBy>O'Rourke, Kathy J (DOL)</cp:lastModifiedBy>
  <cp:revision>3</cp:revision>
  <cp:lastPrinted>2009-06-04T20:31:00Z</cp:lastPrinted>
  <dcterms:created xsi:type="dcterms:W3CDTF">2026-03-03T22:52:00Z</dcterms:created>
  <dcterms:modified xsi:type="dcterms:W3CDTF">2026-03-03T22:52:00Z</dcterms:modified>
</cp:coreProperties>
</file>