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4F859" w14:textId="77777777" w:rsidR="00DD52F1" w:rsidRPr="00F15042" w:rsidRDefault="000F4BBE" w:rsidP="00DD52F1">
      <w:pPr>
        <w:rPr>
          <w:b/>
          <w:color w:val="1F497D" w:themeColor="text2"/>
          <w:szCs w:val="24"/>
        </w:rPr>
      </w:pPr>
      <w:r w:rsidRPr="00F15042">
        <w:rPr>
          <w:b/>
          <w:color w:val="1F497D" w:themeColor="text2"/>
          <w:szCs w:val="24"/>
        </w:rPr>
        <w:t>Multi Agency Cost Summary</w:t>
      </w:r>
    </w:p>
    <w:tbl>
      <w:tblPr>
        <w:tblStyle w:val="TableGrid"/>
        <w:tblW w:w="0" w:type="auto"/>
        <w:tblLook w:val="04A0" w:firstRow="1" w:lastRow="0" w:firstColumn="1" w:lastColumn="0" w:noHBand="0" w:noVBand="1"/>
      </w:tblPr>
      <w:tblGrid>
        <w:gridCol w:w="5755"/>
        <w:gridCol w:w="3595"/>
      </w:tblGrid>
      <w:tr w:rsidR="000F4BBE" w:rsidRPr="00F15042" w14:paraId="338C84F8" w14:textId="77777777" w:rsidTr="000F4BBE">
        <w:tc>
          <w:tcPr>
            <w:tcW w:w="5755" w:type="dxa"/>
          </w:tcPr>
          <w:p w14:paraId="58A82BB2" w14:textId="77777777" w:rsidR="000F4BBE" w:rsidRPr="00F15042" w:rsidRDefault="000F4BBE" w:rsidP="00DD52F1">
            <w:pPr>
              <w:rPr>
                <w:b/>
                <w:szCs w:val="24"/>
              </w:rPr>
            </w:pPr>
            <w:r w:rsidRPr="00F15042">
              <w:rPr>
                <w:b/>
                <w:szCs w:val="24"/>
              </w:rPr>
              <w:t>Agency</w:t>
            </w:r>
          </w:p>
        </w:tc>
        <w:tc>
          <w:tcPr>
            <w:tcW w:w="3595" w:type="dxa"/>
          </w:tcPr>
          <w:p w14:paraId="46A142CD" w14:textId="77777777" w:rsidR="000F4BBE" w:rsidRPr="00F15042" w:rsidRDefault="000F4BBE" w:rsidP="000F4BBE">
            <w:pPr>
              <w:jc w:val="right"/>
              <w:rPr>
                <w:b/>
                <w:szCs w:val="24"/>
              </w:rPr>
            </w:pPr>
            <w:r w:rsidRPr="00F15042">
              <w:rPr>
                <w:b/>
                <w:szCs w:val="24"/>
              </w:rPr>
              <w:t>Cost</w:t>
            </w:r>
          </w:p>
        </w:tc>
      </w:tr>
      <w:tr w:rsidR="000F4BBE" w:rsidRPr="00F15042" w14:paraId="4843C54B" w14:textId="77777777" w:rsidTr="000F4BBE">
        <w:tc>
          <w:tcPr>
            <w:tcW w:w="5755" w:type="dxa"/>
          </w:tcPr>
          <w:p w14:paraId="30D5F769" w14:textId="77777777" w:rsidR="000F4BBE" w:rsidRPr="00F15042" w:rsidRDefault="000F4BBE" w:rsidP="00DD52F1">
            <w:pPr>
              <w:rPr>
                <w:szCs w:val="24"/>
              </w:rPr>
            </w:pPr>
            <w:r w:rsidRPr="00F15042">
              <w:rPr>
                <w:szCs w:val="24"/>
              </w:rPr>
              <w:t>Alaska Public Offices Commission</w:t>
            </w:r>
          </w:p>
        </w:tc>
        <w:tc>
          <w:tcPr>
            <w:tcW w:w="3595" w:type="dxa"/>
          </w:tcPr>
          <w:p w14:paraId="1B813E67" w14:textId="77777777" w:rsidR="000F4BBE" w:rsidRPr="00F15042" w:rsidRDefault="00285118" w:rsidP="00285118">
            <w:pPr>
              <w:jc w:val="right"/>
              <w:rPr>
                <w:szCs w:val="24"/>
              </w:rPr>
            </w:pPr>
            <w:r w:rsidRPr="00F15042">
              <w:rPr>
                <w:szCs w:val="24"/>
              </w:rPr>
              <w:t>$103,350</w:t>
            </w:r>
          </w:p>
        </w:tc>
      </w:tr>
      <w:tr w:rsidR="000F4BBE" w:rsidRPr="00F15042" w14:paraId="6E2C2CEB" w14:textId="77777777" w:rsidTr="000F4BBE">
        <w:tc>
          <w:tcPr>
            <w:tcW w:w="5755" w:type="dxa"/>
          </w:tcPr>
          <w:p w14:paraId="6AF499D9" w14:textId="77777777" w:rsidR="000F4BBE" w:rsidRPr="00F15042" w:rsidRDefault="000F4BBE" w:rsidP="00DD52F1">
            <w:pPr>
              <w:rPr>
                <w:szCs w:val="24"/>
              </w:rPr>
            </w:pPr>
            <w:r w:rsidRPr="00F15042">
              <w:rPr>
                <w:szCs w:val="24"/>
              </w:rPr>
              <w:t>Office of the Lieutenant Governor, Division of Elections</w:t>
            </w:r>
          </w:p>
        </w:tc>
        <w:tc>
          <w:tcPr>
            <w:tcW w:w="3595" w:type="dxa"/>
          </w:tcPr>
          <w:p w14:paraId="44BEFE3C" w14:textId="77777777" w:rsidR="000F4BBE" w:rsidRPr="00F15042" w:rsidRDefault="000F4BBE" w:rsidP="000F4BBE">
            <w:pPr>
              <w:jc w:val="right"/>
              <w:rPr>
                <w:szCs w:val="24"/>
              </w:rPr>
            </w:pPr>
            <w:r w:rsidRPr="00F15042">
              <w:rPr>
                <w:szCs w:val="24"/>
              </w:rPr>
              <w:t>$803,593</w:t>
            </w:r>
          </w:p>
        </w:tc>
      </w:tr>
      <w:tr w:rsidR="000F4BBE" w:rsidRPr="00F15042" w14:paraId="265FD0E4" w14:textId="77777777" w:rsidTr="000F4BBE">
        <w:tc>
          <w:tcPr>
            <w:tcW w:w="5755" w:type="dxa"/>
          </w:tcPr>
          <w:p w14:paraId="2FC42D81" w14:textId="77777777" w:rsidR="000F4BBE" w:rsidRPr="00F15042" w:rsidRDefault="000F4BBE" w:rsidP="00DD52F1">
            <w:pPr>
              <w:rPr>
                <w:b/>
                <w:szCs w:val="24"/>
              </w:rPr>
            </w:pPr>
            <w:r w:rsidRPr="00F15042">
              <w:rPr>
                <w:b/>
                <w:szCs w:val="24"/>
              </w:rPr>
              <w:t>TOTAL</w:t>
            </w:r>
          </w:p>
        </w:tc>
        <w:tc>
          <w:tcPr>
            <w:tcW w:w="3595" w:type="dxa"/>
          </w:tcPr>
          <w:p w14:paraId="14128AB4" w14:textId="77777777" w:rsidR="000F4BBE" w:rsidRPr="00F15042" w:rsidRDefault="00285118" w:rsidP="00285118">
            <w:pPr>
              <w:jc w:val="right"/>
              <w:rPr>
                <w:szCs w:val="24"/>
              </w:rPr>
            </w:pPr>
            <w:r w:rsidRPr="00F15042">
              <w:rPr>
                <w:szCs w:val="24"/>
              </w:rPr>
              <w:t>$906,943</w:t>
            </w:r>
          </w:p>
        </w:tc>
      </w:tr>
    </w:tbl>
    <w:p w14:paraId="44DD88D4" w14:textId="77777777" w:rsidR="000F4BBE" w:rsidRPr="00F15042" w:rsidRDefault="000F4BBE" w:rsidP="00DD52F1">
      <w:pPr>
        <w:rPr>
          <w:b/>
          <w:szCs w:val="24"/>
          <w:u w:val="single"/>
        </w:rPr>
      </w:pPr>
    </w:p>
    <w:p w14:paraId="01D70A3B" w14:textId="77777777" w:rsidR="000F4BBE" w:rsidRPr="00F15042" w:rsidRDefault="000F4BBE" w:rsidP="00DD52F1">
      <w:pPr>
        <w:rPr>
          <w:b/>
          <w:color w:val="1F497D" w:themeColor="text2"/>
          <w:szCs w:val="24"/>
        </w:rPr>
      </w:pPr>
      <w:r w:rsidRPr="00F15042">
        <w:rPr>
          <w:b/>
          <w:color w:val="1F497D" w:themeColor="text2"/>
          <w:szCs w:val="24"/>
        </w:rPr>
        <w:t>Estimate of Costs to the Office of the Lieutenant Governor, Division of Elections</w:t>
      </w:r>
    </w:p>
    <w:p w14:paraId="31B02B69" w14:textId="77777777" w:rsidR="000F4BBE" w:rsidRPr="00F15042" w:rsidRDefault="000F4BBE" w:rsidP="00EC6AD3">
      <w:pPr>
        <w:spacing w:after="240"/>
        <w:rPr>
          <w:rFonts w:cs="Times New Roman"/>
          <w:szCs w:val="24"/>
        </w:rPr>
      </w:pPr>
      <w:r w:rsidRPr="00F15042">
        <w:rPr>
          <w:rFonts w:cs="Times New Roman"/>
          <w:szCs w:val="24"/>
        </w:rPr>
        <w:t>As required by AS 15.45.090(a)(3) and (4), the Division of Elections has prepared the following statement of costs to implement the proposed ballot initiative</w:t>
      </w:r>
      <w:r w:rsidR="00EC6AD3" w:rsidRPr="00F15042">
        <w:rPr>
          <w:rFonts w:cs="Times New Roman"/>
          <w:szCs w:val="24"/>
        </w:rPr>
        <w:t xml:space="preserve"> and </w:t>
      </w:r>
      <w:r w:rsidR="00B233F6" w:rsidRPr="00F15042">
        <w:rPr>
          <w:rFonts w:cs="Times New Roman"/>
          <w:szCs w:val="24"/>
        </w:rPr>
        <w:t>t</w:t>
      </w:r>
      <w:r w:rsidR="00EC6AD3" w:rsidRPr="00F15042">
        <w:rPr>
          <w:rFonts w:cs="Times New Roman"/>
          <w:szCs w:val="24"/>
        </w:rPr>
        <w:t xml:space="preserve">he minimum cost to the Division of Elections associated </w:t>
      </w:r>
      <w:r w:rsidRPr="00F15042">
        <w:rPr>
          <w:rFonts w:cs="Times New Roman"/>
          <w:szCs w:val="24"/>
        </w:rPr>
        <w:t xml:space="preserve">with certification of the initiative application and review of the initiative petition, excluding legal costs to the state and the costs to the state of any challenge to the validity of the petition, estimated to be $803,593. </w:t>
      </w:r>
    </w:p>
    <w:p w14:paraId="4E7E3AE8" w14:textId="77777777" w:rsidR="000F4BBE" w:rsidRPr="00F15042" w:rsidRDefault="000F4BBE" w:rsidP="00EC6AD3">
      <w:pPr>
        <w:spacing w:after="0"/>
        <w:rPr>
          <w:rFonts w:cs="Times New Roman"/>
          <w:b/>
          <w:szCs w:val="24"/>
        </w:rPr>
      </w:pPr>
      <w:r w:rsidRPr="00F15042">
        <w:rPr>
          <w:rFonts w:cs="Times New Roman"/>
          <w:b/>
          <w:szCs w:val="24"/>
        </w:rPr>
        <w:t>Estimate by Category</w:t>
      </w:r>
    </w:p>
    <w:p w14:paraId="5BA6A601" w14:textId="77777777" w:rsidR="000F4BBE" w:rsidRPr="00F15042" w:rsidRDefault="000F4BBE" w:rsidP="00EC6AD3">
      <w:pPr>
        <w:tabs>
          <w:tab w:val="right" w:pos="8640"/>
        </w:tabs>
        <w:spacing w:after="0"/>
        <w:rPr>
          <w:rFonts w:cs="Times New Roman"/>
          <w:szCs w:val="24"/>
        </w:rPr>
      </w:pPr>
      <w:r w:rsidRPr="00F15042">
        <w:rPr>
          <w:rFonts w:cs="Times New Roman"/>
          <w:szCs w:val="24"/>
        </w:rPr>
        <w:t>Personal Services</w:t>
      </w:r>
      <w:r w:rsidRPr="00F15042">
        <w:rPr>
          <w:rFonts w:cs="Times New Roman"/>
          <w:szCs w:val="24"/>
        </w:rPr>
        <w:tab/>
        <w:t>$60,577</w:t>
      </w:r>
      <w:r w:rsidRPr="00F15042">
        <w:rPr>
          <w:rFonts w:cs="Times New Roman"/>
          <w:szCs w:val="24"/>
        </w:rPr>
        <w:tab/>
        <w:t xml:space="preserve"> </w:t>
      </w:r>
    </w:p>
    <w:p w14:paraId="233B5865" w14:textId="77777777" w:rsidR="000F4BBE" w:rsidRPr="00F15042" w:rsidRDefault="000F4BBE" w:rsidP="00EC6AD3">
      <w:pPr>
        <w:tabs>
          <w:tab w:val="right" w:pos="8640"/>
        </w:tabs>
        <w:spacing w:after="0"/>
        <w:rPr>
          <w:rFonts w:cs="Times New Roman"/>
          <w:szCs w:val="24"/>
        </w:rPr>
      </w:pPr>
      <w:r w:rsidRPr="00F15042">
        <w:rPr>
          <w:rFonts w:cs="Times New Roman"/>
          <w:szCs w:val="24"/>
        </w:rPr>
        <w:t>Printing Services</w:t>
      </w:r>
      <w:r w:rsidRPr="00F15042">
        <w:rPr>
          <w:rFonts w:cs="Times New Roman"/>
          <w:szCs w:val="24"/>
        </w:rPr>
        <w:tab/>
        <w:t>$1,300</w:t>
      </w:r>
    </w:p>
    <w:p w14:paraId="36BAE0FA" w14:textId="77777777" w:rsidR="000F4BBE" w:rsidRPr="00F15042" w:rsidRDefault="000F4BBE" w:rsidP="00EC6AD3">
      <w:pPr>
        <w:tabs>
          <w:tab w:val="right" w:pos="8640"/>
        </w:tabs>
        <w:spacing w:after="0"/>
        <w:rPr>
          <w:rFonts w:cs="Times New Roman"/>
          <w:szCs w:val="24"/>
        </w:rPr>
      </w:pPr>
      <w:r w:rsidRPr="00F15042">
        <w:rPr>
          <w:rFonts w:cs="Times New Roman"/>
          <w:szCs w:val="24"/>
        </w:rPr>
        <w:t>Ballot Tabulation Equipment</w:t>
      </w:r>
      <w:r w:rsidRPr="00F15042">
        <w:rPr>
          <w:rFonts w:cs="Times New Roman"/>
          <w:szCs w:val="24"/>
        </w:rPr>
        <w:tab/>
        <w:t>$534,300</w:t>
      </w:r>
    </w:p>
    <w:p w14:paraId="3A5598D5" w14:textId="77777777" w:rsidR="000F4BBE" w:rsidRPr="00F15042" w:rsidRDefault="000F4BBE" w:rsidP="00EC6AD3">
      <w:pPr>
        <w:tabs>
          <w:tab w:val="right" w:pos="8640"/>
        </w:tabs>
        <w:spacing w:after="0"/>
        <w:rPr>
          <w:rFonts w:cs="Times New Roman"/>
          <w:szCs w:val="24"/>
        </w:rPr>
      </w:pPr>
      <w:r w:rsidRPr="00F15042">
        <w:rPr>
          <w:rFonts w:cs="Times New Roman"/>
          <w:szCs w:val="24"/>
        </w:rPr>
        <w:t>Voter Education</w:t>
      </w:r>
      <w:r w:rsidRPr="00F15042">
        <w:rPr>
          <w:rFonts w:cs="Times New Roman"/>
          <w:szCs w:val="24"/>
        </w:rPr>
        <w:tab/>
        <w:t>$150,000</w:t>
      </w:r>
    </w:p>
    <w:p w14:paraId="00D4FE32" w14:textId="77777777" w:rsidR="000F4BBE" w:rsidRPr="00F15042" w:rsidRDefault="000F4BBE" w:rsidP="00EC6AD3">
      <w:pPr>
        <w:tabs>
          <w:tab w:val="right" w:pos="8640"/>
        </w:tabs>
        <w:spacing w:after="0"/>
        <w:rPr>
          <w:rFonts w:cs="Times New Roman"/>
          <w:szCs w:val="24"/>
          <w:u w:val="single"/>
        </w:rPr>
      </w:pPr>
      <w:r w:rsidRPr="00F15042">
        <w:rPr>
          <w:rFonts w:cs="Times New Roman"/>
          <w:szCs w:val="24"/>
          <w:u w:val="single"/>
        </w:rPr>
        <w:t>Language Assistance</w:t>
      </w:r>
      <w:r w:rsidRPr="00F15042">
        <w:rPr>
          <w:rFonts w:cs="Times New Roman"/>
          <w:szCs w:val="24"/>
          <w:u w:val="single"/>
        </w:rPr>
        <w:tab/>
        <w:t>$57,416</w:t>
      </w:r>
    </w:p>
    <w:p w14:paraId="06287D57" w14:textId="77777777" w:rsidR="000F4BBE" w:rsidRPr="00F15042" w:rsidRDefault="000F4BBE" w:rsidP="00EC6AD3">
      <w:pPr>
        <w:tabs>
          <w:tab w:val="right" w:pos="8640"/>
        </w:tabs>
        <w:spacing w:after="0"/>
        <w:rPr>
          <w:rFonts w:cs="Times New Roman"/>
          <w:szCs w:val="24"/>
        </w:rPr>
      </w:pPr>
      <w:r w:rsidRPr="00F15042">
        <w:rPr>
          <w:rFonts w:cs="Times New Roman"/>
          <w:szCs w:val="24"/>
        </w:rPr>
        <w:t>TOTAL</w:t>
      </w:r>
      <w:r w:rsidRPr="00F15042">
        <w:rPr>
          <w:rFonts w:cs="Times New Roman"/>
          <w:szCs w:val="24"/>
        </w:rPr>
        <w:tab/>
        <w:t>$803,593</w:t>
      </w:r>
    </w:p>
    <w:p w14:paraId="5A5D166C" w14:textId="77777777" w:rsidR="00EC6AD3" w:rsidRPr="00F15042" w:rsidRDefault="00EC6AD3" w:rsidP="000F4BBE">
      <w:pPr>
        <w:rPr>
          <w:rFonts w:cs="Times New Roman"/>
          <w:b/>
          <w:szCs w:val="24"/>
        </w:rPr>
      </w:pPr>
    </w:p>
    <w:p w14:paraId="40320BD4" w14:textId="77777777" w:rsidR="000F4BBE" w:rsidRPr="00F15042" w:rsidRDefault="000F4BBE" w:rsidP="000F4BBE">
      <w:pPr>
        <w:rPr>
          <w:rFonts w:cs="Times New Roman"/>
          <w:b/>
          <w:szCs w:val="24"/>
        </w:rPr>
      </w:pPr>
      <w:r w:rsidRPr="00F15042">
        <w:rPr>
          <w:rFonts w:cs="Times New Roman"/>
          <w:b/>
          <w:szCs w:val="24"/>
        </w:rPr>
        <w:t>Analysis of Fiscal Impact of Ballot Initiative</w:t>
      </w:r>
    </w:p>
    <w:p w14:paraId="5AFC8F64" w14:textId="77777777" w:rsidR="000F4BBE" w:rsidRPr="00F15042" w:rsidRDefault="000F4BBE" w:rsidP="000F4BBE">
      <w:pPr>
        <w:rPr>
          <w:rFonts w:cs="Times New Roman"/>
          <w:b/>
          <w:szCs w:val="24"/>
          <w:u w:val="single"/>
        </w:rPr>
      </w:pPr>
      <w:r w:rsidRPr="00F15042">
        <w:rPr>
          <w:rFonts w:cs="Times New Roman"/>
          <w:b/>
          <w:szCs w:val="24"/>
          <w:u w:val="single"/>
        </w:rPr>
        <w:t>Initiative Petition Review</w:t>
      </w:r>
    </w:p>
    <w:p w14:paraId="2615E531" w14:textId="69791B6C" w:rsidR="000F4BBE" w:rsidRPr="00F15042" w:rsidRDefault="000F4BBE" w:rsidP="00EC6AD3">
      <w:pPr>
        <w:spacing w:after="0"/>
        <w:rPr>
          <w:rFonts w:cs="Times New Roman"/>
          <w:b/>
          <w:szCs w:val="24"/>
        </w:rPr>
      </w:pPr>
      <w:r w:rsidRPr="00F15042">
        <w:rPr>
          <w:rFonts w:cs="Times New Roman"/>
          <w:szCs w:val="24"/>
        </w:rPr>
        <w:t>Personal Services: Six temporary employees to review signatures for 2,520 hours. Estimated cost: $44,555</w:t>
      </w:r>
    </w:p>
    <w:p w14:paraId="310657ED" w14:textId="77777777" w:rsidR="00EC6AD3" w:rsidRPr="00F15042" w:rsidRDefault="00EC6AD3" w:rsidP="00EC6AD3">
      <w:pPr>
        <w:tabs>
          <w:tab w:val="right" w:pos="8640"/>
        </w:tabs>
        <w:spacing w:after="0"/>
        <w:rPr>
          <w:rFonts w:cs="Times New Roman"/>
          <w:szCs w:val="24"/>
        </w:rPr>
      </w:pPr>
    </w:p>
    <w:p w14:paraId="5B67F1BE" w14:textId="25DC95B3" w:rsidR="000F4BBE" w:rsidRPr="00F15042" w:rsidRDefault="000F4BBE" w:rsidP="00EC6AD3">
      <w:pPr>
        <w:tabs>
          <w:tab w:val="right" w:pos="8640"/>
        </w:tabs>
        <w:spacing w:after="0"/>
        <w:rPr>
          <w:rFonts w:cs="Times New Roman"/>
          <w:szCs w:val="24"/>
        </w:rPr>
      </w:pPr>
      <w:r w:rsidRPr="00F15042">
        <w:rPr>
          <w:rFonts w:cs="Times New Roman"/>
          <w:szCs w:val="24"/>
        </w:rPr>
        <w:t xml:space="preserve">Certification of the initiative application and review of the initiative petition </w:t>
      </w:r>
      <w:r w:rsidR="003B2EC4" w:rsidRPr="00F15042">
        <w:rPr>
          <w:rFonts w:cs="Times New Roman"/>
          <w:szCs w:val="24"/>
        </w:rPr>
        <w:t>(</w:t>
      </w:r>
      <w:r w:rsidRPr="00F15042">
        <w:rPr>
          <w:rFonts w:cs="Times New Roman"/>
          <w:szCs w:val="24"/>
        </w:rPr>
        <w:t xml:space="preserve">estimated </w:t>
      </w:r>
      <w:r w:rsidR="003B2EC4" w:rsidRPr="00F15042">
        <w:rPr>
          <w:rFonts w:cs="Times New Roman"/>
          <w:szCs w:val="24"/>
        </w:rPr>
        <w:t>at</w:t>
      </w:r>
      <w:r w:rsidRPr="00F15042">
        <w:rPr>
          <w:rFonts w:cs="Times New Roman"/>
          <w:szCs w:val="24"/>
        </w:rPr>
        <w:t xml:space="preserve"> 504 hours</w:t>
      </w:r>
      <w:r w:rsidR="003B2EC4" w:rsidRPr="00F15042">
        <w:rPr>
          <w:rFonts w:cs="Times New Roman"/>
          <w:szCs w:val="24"/>
        </w:rPr>
        <w:t>)</w:t>
      </w:r>
      <w:r w:rsidRPr="00F15042">
        <w:rPr>
          <w:rFonts w:cs="Times New Roman"/>
          <w:szCs w:val="24"/>
        </w:rPr>
        <w:t>.  Estimated cost: $16</w:t>
      </w:r>
      <w:r w:rsidR="00AA3F18">
        <w:rPr>
          <w:rFonts w:cs="Times New Roman"/>
          <w:szCs w:val="24"/>
        </w:rPr>
        <w:t>,</w:t>
      </w:r>
      <w:r w:rsidRPr="00F15042">
        <w:rPr>
          <w:rFonts w:cs="Times New Roman"/>
          <w:szCs w:val="24"/>
        </w:rPr>
        <w:t>022</w:t>
      </w:r>
      <w:bookmarkStart w:id="0" w:name="_GoBack"/>
      <w:bookmarkEnd w:id="0"/>
    </w:p>
    <w:p w14:paraId="3DB1ED46" w14:textId="77777777" w:rsidR="00EC6AD3" w:rsidRPr="00F15042" w:rsidRDefault="00EC6AD3" w:rsidP="00EC6AD3">
      <w:pPr>
        <w:tabs>
          <w:tab w:val="right" w:pos="8640"/>
        </w:tabs>
        <w:spacing w:after="0"/>
        <w:rPr>
          <w:rFonts w:cs="Times New Roman"/>
          <w:szCs w:val="24"/>
        </w:rPr>
      </w:pPr>
    </w:p>
    <w:p w14:paraId="6DE87BCE" w14:textId="77777777" w:rsidR="000F4BBE" w:rsidRPr="00F15042" w:rsidRDefault="000F4BBE" w:rsidP="00EC6AD3">
      <w:pPr>
        <w:tabs>
          <w:tab w:val="right" w:pos="8640"/>
        </w:tabs>
        <w:spacing w:after="0"/>
        <w:rPr>
          <w:rFonts w:cs="Times New Roman"/>
          <w:szCs w:val="24"/>
        </w:rPr>
      </w:pPr>
      <w:r w:rsidRPr="00F15042">
        <w:rPr>
          <w:rFonts w:cs="Times New Roman"/>
          <w:szCs w:val="24"/>
        </w:rPr>
        <w:t xml:space="preserve">Printing Services: Printing service expenses associated with certification of the initiative application and review of initiative petition. </w:t>
      </w:r>
      <w:r w:rsidR="002D3818" w:rsidRPr="00F15042">
        <w:rPr>
          <w:rFonts w:cs="Times New Roman"/>
          <w:szCs w:val="24"/>
        </w:rPr>
        <w:t xml:space="preserve">Estimated cost: </w:t>
      </w:r>
      <w:r w:rsidRPr="00F15042">
        <w:rPr>
          <w:rFonts w:cs="Times New Roman"/>
          <w:szCs w:val="24"/>
        </w:rPr>
        <w:t>$1,300</w:t>
      </w:r>
    </w:p>
    <w:p w14:paraId="0AE284D3" w14:textId="77777777" w:rsidR="002D3818" w:rsidRPr="00F15042" w:rsidRDefault="002D3818" w:rsidP="000F4BBE">
      <w:pPr>
        <w:rPr>
          <w:rFonts w:cs="Times New Roman"/>
          <w:b/>
          <w:szCs w:val="24"/>
          <w:u w:val="single"/>
        </w:rPr>
      </w:pPr>
    </w:p>
    <w:p w14:paraId="2F0E5737" w14:textId="77777777" w:rsidR="000F4BBE" w:rsidRPr="00F15042" w:rsidRDefault="000F4BBE" w:rsidP="000F4BBE">
      <w:pPr>
        <w:rPr>
          <w:rFonts w:cs="Times New Roman"/>
          <w:b/>
          <w:szCs w:val="24"/>
          <w:u w:val="single"/>
        </w:rPr>
      </w:pPr>
      <w:r w:rsidRPr="00F15042">
        <w:rPr>
          <w:rFonts w:cs="Times New Roman"/>
          <w:b/>
          <w:szCs w:val="24"/>
          <w:u w:val="single"/>
        </w:rPr>
        <w:t>Ballot Tabulation Equipment</w:t>
      </w:r>
    </w:p>
    <w:p w14:paraId="5434942C" w14:textId="07EBC654" w:rsidR="000F4BBE" w:rsidRPr="00F15042" w:rsidRDefault="000F4BBE" w:rsidP="000F4BBE">
      <w:pPr>
        <w:rPr>
          <w:rFonts w:cs="Times New Roman"/>
          <w:szCs w:val="24"/>
        </w:rPr>
      </w:pPr>
      <w:r w:rsidRPr="00F15042">
        <w:rPr>
          <w:rFonts w:cs="Times New Roman"/>
          <w:szCs w:val="24"/>
        </w:rPr>
        <w:t xml:space="preserve">In order to accommodate rank choice voting, the </w:t>
      </w:r>
      <w:r w:rsidR="00AA3F18">
        <w:rPr>
          <w:rFonts w:cs="Times New Roman"/>
          <w:szCs w:val="24"/>
        </w:rPr>
        <w:t>D</w:t>
      </w:r>
      <w:r w:rsidRPr="00F15042">
        <w:rPr>
          <w:rFonts w:cs="Times New Roman"/>
          <w:szCs w:val="24"/>
        </w:rPr>
        <w:t xml:space="preserve">ivision would need to purchase 137 ballot tabulators for precincts that currently hand count ballots.  Rank choice voting does not allow for the </w:t>
      </w:r>
      <w:r w:rsidRPr="00F15042">
        <w:rPr>
          <w:rFonts w:cs="Times New Roman"/>
          <w:szCs w:val="24"/>
        </w:rPr>
        <w:lastRenderedPageBreak/>
        <w:t xml:space="preserve">hand counting of ballots.  All ballots must </w:t>
      </w:r>
      <w:r w:rsidR="00764037">
        <w:rPr>
          <w:rFonts w:cs="Times New Roman"/>
          <w:szCs w:val="24"/>
        </w:rPr>
        <w:t xml:space="preserve">first </w:t>
      </w:r>
      <w:r w:rsidRPr="00F15042">
        <w:rPr>
          <w:rFonts w:cs="Times New Roman"/>
          <w:szCs w:val="24"/>
        </w:rPr>
        <w:t xml:space="preserve">be scanned and counted by a tabulator </w:t>
      </w:r>
      <w:r w:rsidR="00F15042" w:rsidRPr="00F15042">
        <w:rPr>
          <w:rFonts w:cs="Times New Roman"/>
          <w:szCs w:val="24"/>
        </w:rPr>
        <w:t>for</w:t>
      </w:r>
      <w:r w:rsidRPr="00F15042">
        <w:rPr>
          <w:rFonts w:cs="Times New Roman"/>
          <w:szCs w:val="24"/>
        </w:rPr>
        <w:t xml:space="preserve"> the tabulation grid to be captured. </w:t>
      </w:r>
      <w:r w:rsidR="00EC6AD3" w:rsidRPr="00F15042">
        <w:rPr>
          <w:rFonts w:cs="Times New Roman"/>
          <w:szCs w:val="24"/>
        </w:rPr>
        <w:t xml:space="preserve"> </w:t>
      </w:r>
      <w:r w:rsidRPr="00F15042">
        <w:rPr>
          <w:rFonts w:cs="Times New Roman"/>
          <w:szCs w:val="24"/>
        </w:rPr>
        <w:t>Estimated cost: $534,300</w:t>
      </w:r>
    </w:p>
    <w:p w14:paraId="002548DC" w14:textId="77777777" w:rsidR="000F4BBE" w:rsidRPr="00F15042" w:rsidRDefault="000F4BBE" w:rsidP="000F4BBE">
      <w:pPr>
        <w:rPr>
          <w:rFonts w:cs="Times New Roman"/>
          <w:b/>
          <w:szCs w:val="24"/>
          <w:u w:val="single"/>
        </w:rPr>
      </w:pPr>
      <w:r w:rsidRPr="00F15042">
        <w:rPr>
          <w:rFonts w:cs="Times New Roman"/>
          <w:b/>
          <w:szCs w:val="24"/>
          <w:u w:val="single"/>
        </w:rPr>
        <w:t>Public Education Campaign</w:t>
      </w:r>
    </w:p>
    <w:p w14:paraId="3168D07A" w14:textId="77777777" w:rsidR="000F4BBE" w:rsidRPr="00F15042" w:rsidRDefault="000F4BBE" w:rsidP="000F4BBE">
      <w:pPr>
        <w:rPr>
          <w:rFonts w:cs="Times New Roman"/>
          <w:szCs w:val="24"/>
        </w:rPr>
      </w:pPr>
      <w:r w:rsidRPr="00F15042">
        <w:rPr>
          <w:rFonts w:cs="Times New Roman"/>
          <w:szCs w:val="24"/>
        </w:rPr>
        <w:t>A public education campaign will need to take place to inform candidates, voters</w:t>
      </w:r>
      <w:r w:rsidR="00AA3F18">
        <w:rPr>
          <w:rFonts w:cs="Times New Roman"/>
          <w:szCs w:val="24"/>
        </w:rPr>
        <w:t>,</w:t>
      </w:r>
      <w:r w:rsidRPr="00F15042">
        <w:rPr>
          <w:rFonts w:cs="Times New Roman"/>
          <w:szCs w:val="24"/>
        </w:rPr>
        <w:t xml:space="preserve"> and election workers of the changes to the primary and general election processes. </w:t>
      </w:r>
      <w:r w:rsidR="00EE2A81">
        <w:rPr>
          <w:rFonts w:cs="Times New Roman"/>
          <w:szCs w:val="24"/>
        </w:rPr>
        <w:t xml:space="preserve"> </w:t>
      </w:r>
      <w:r w:rsidRPr="00F15042">
        <w:rPr>
          <w:rFonts w:cs="Times New Roman"/>
          <w:szCs w:val="24"/>
        </w:rPr>
        <w:t>Estimated cost: $150,000</w:t>
      </w:r>
    </w:p>
    <w:p w14:paraId="1D12A6C6" w14:textId="77777777" w:rsidR="000F4BBE" w:rsidRPr="00F15042" w:rsidRDefault="000F4BBE" w:rsidP="000F4BBE">
      <w:pPr>
        <w:rPr>
          <w:rFonts w:cs="Times New Roman"/>
          <w:b/>
          <w:szCs w:val="24"/>
          <w:u w:val="single"/>
        </w:rPr>
      </w:pPr>
      <w:r w:rsidRPr="00F15042">
        <w:rPr>
          <w:rFonts w:cs="Times New Roman"/>
          <w:b/>
          <w:szCs w:val="24"/>
          <w:u w:val="single"/>
        </w:rPr>
        <w:t>Language Assistance</w:t>
      </w:r>
    </w:p>
    <w:p w14:paraId="6F94C29C" w14:textId="7B24361D" w:rsidR="000F4BBE" w:rsidRPr="00F15042" w:rsidRDefault="00EE2A81" w:rsidP="000F4BBE">
      <w:pPr>
        <w:rPr>
          <w:rFonts w:cs="Times New Roman"/>
          <w:szCs w:val="24"/>
        </w:rPr>
      </w:pPr>
      <w:r>
        <w:rPr>
          <w:rFonts w:eastAsia="Times New Roman" w:cs="Times New Roman"/>
          <w:color w:val="000000"/>
          <w:szCs w:val="24"/>
        </w:rPr>
        <w:t>T</w:t>
      </w:r>
      <w:r w:rsidR="000F4BBE" w:rsidRPr="00F15042">
        <w:rPr>
          <w:rFonts w:eastAsia="Times New Roman" w:cs="Times New Roman"/>
          <w:color w:val="000000"/>
          <w:szCs w:val="24"/>
        </w:rPr>
        <w:t xml:space="preserve">ranslating the ballot measure language </w:t>
      </w:r>
      <w:r>
        <w:rPr>
          <w:rFonts w:eastAsia="Times New Roman" w:cs="Times New Roman"/>
          <w:color w:val="000000"/>
          <w:szCs w:val="24"/>
        </w:rPr>
        <w:t xml:space="preserve">is needed </w:t>
      </w:r>
      <w:r w:rsidR="000F4BBE" w:rsidRPr="00F15042">
        <w:rPr>
          <w:rFonts w:eastAsia="Times New Roman" w:cs="Times New Roman"/>
          <w:color w:val="000000"/>
          <w:szCs w:val="24"/>
        </w:rPr>
        <w:t>for audio and sample ballots</w:t>
      </w:r>
      <w:r w:rsidR="00AA3F18">
        <w:rPr>
          <w:rFonts w:eastAsia="Times New Roman" w:cs="Times New Roman"/>
          <w:color w:val="000000"/>
          <w:szCs w:val="24"/>
        </w:rPr>
        <w:t>,</w:t>
      </w:r>
      <w:r w:rsidR="000F4BBE" w:rsidRPr="00F15042">
        <w:rPr>
          <w:rFonts w:eastAsia="Times New Roman" w:cs="Times New Roman"/>
          <w:color w:val="000000"/>
          <w:szCs w:val="24"/>
        </w:rPr>
        <w:t xml:space="preserve"> Official Election Pamphlet pro statement, Official Election Pamphlet con statement</w:t>
      </w:r>
      <w:r w:rsidR="00AA3F18">
        <w:rPr>
          <w:rFonts w:eastAsia="Times New Roman" w:cs="Times New Roman"/>
          <w:color w:val="000000"/>
          <w:szCs w:val="24"/>
        </w:rPr>
        <w:t>,</w:t>
      </w:r>
      <w:r w:rsidR="000F4BBE" w:rsidRPr="00F15042">
        <w:rPr>
          <w:rFonts w:eastAsia="Times New Roman" w:cs="Times New Roman"/>
          <w:color w:val="000000"/>
          <w:szCs w:val="24"/>
        </w:rPr>
        <w:t xml:space="preserve"> and Official Election Pamphlet neutral summary into 11 languages required by the Toyukak Settlement and Section 203 of the Federal Voting Rights Act. </w:t>
      </w:r>
      <w:r w:rsidR="00EC6AD3" w:rsidRPr="00F15042">
        <w:rPr>
          <w:rFonts w:eastAsia="Times New Roman" w:cs="Times New Roman"/>
          <w:color w:val="000000"/>
          <w:szCs w:val="24"/>
        </w:rPr>
        <w:t xml:space="preserve"> </w:t>
      </w:r>
      <w:r w:rsidR="000F4BBE" w:rsidRPr="00F15042">
        <w:rPr>
          <w:rFonts w:cs="Times New Roman"/>
          <w:szCs w:val="24"/>
        </w:rPr>
        <w:t>Estimated cost: $57,416</w:t>
      </w:r>
    </w:p>
    <w:p w14:paraId="38FABBDB" w14:textId="77777777" w:rsidR="00EC6AD3" w:rsidRPr="00F15042" w:rsidRDefault="00EC6AD3" w:rsidP="00EC6AD3">
      <w:pPr>
        <w:rPr>
          <w:b/>
          <w:color w:val="1F497D" w:themeColor="text2"/>
          <w:szCs w:val="24"/>
        </w:rPr>
      </w:pPr>
      <w:r w:rsidRPr="00F15042">
        <w:rPr>
          <w:b/>
          <w:color w:val="1F497D" w:themeColor="text2"/>
          <w:szCs w:val="24"/>
        </w:rPr>
        <w:t>Estimate of Costs to the Alaska Public Offices Commission</w:t>
      </w:r>
    </w:p>
    <w:p w14:paraId="06058AAB" w14:textId="77777777" w:rsidR="00EC6AD3" w:rsidRPr="00F15042" w:rsidRDefault="00EC6AD3" w:rsidP="00EC6AD3">
      <w:pPr>
        <w:spacing w:after="0"/>
        <w:rPr>
          <w:szCs w:val="24"/>
        </w:rPr>
      </w:pPr>
      <w:r w:rsidRPr="00F15042">
        <w:rPr>
          <w:szCs w:val="24"/>
        </w:rPr>
        <w:t>As required by AS 15.45.090(a)(4), the Alaska Public Offices Commission (APOC) has prepared the following statement of costs to implement the proposed ballot initiative.</w:t>
      </w:r>
    </w:p>
    <w:p w14:paraId="1DA567E3" w14:textId="77777777" w:rsidR="00EC6AD3" w:rsidRPr="00F15042" w:rsidRDefault="00EC6AD3" w:rsidP="00EC6AD3">
      <w:pPr>
        <w:spacing w:after="0"/>
        <w:rPr>
          <w:szCs w:val="24"/>
        </w:rPr>
      </w:pPr>
    </w:p>
    <w:p w14:paraId="6D8F37EB" w14:textId="24C2BAF8" w:rsidR="00EC6AD3" w:rsidRPr="00F15042" w:rsidRDefault="00EC6AD3" w:rsidP="00EC6AD3">
      <w:pPr>
        <w:spacing w:after="0"/>
        <w:rPr>
          <w:szCs w:val="24"/>
        </w:rPr>
      </w:pPr>
      <w:r w:rsidRPr="00F15042">
        <w:rPr>
          <w:szCs w:val="24"/>
        </w:rPr>
        <w:t xml:space="preserve">The proposed initiative seeks to prohibit the use of </w:t>
      </w:r>
      <w:r w:rsidR="00AA3F18">
        <w:rPr>
          <w:szCs w:val="24"/>
        </w:rPr>
        <w:t>“</w:t>
      </w:r>
      <w:r w:rsidRPr="00F15042">
        <w:rPr>
          <w:szCs w:val="24"/>
        </w:rPr>
        <w:t>dark money</w:t>
      </w:r>
      <w:r w:rsidR="00AA3F18">
        <w:rPr>
          <w:szCs w:val="24"/>
        </w:rPr>
        <w:t>”</w:t>
      </w:r>
      <w:r w:rsidRPr="00F15042">
        <w:rPr>
          <w:szCs w:val="24"/>
        </w:rPr>
        <w:t xml:space="preserve"> in candidate campaigns by amending various sections of Alaska’s campaign financial disclosure laws under AS 15.13.  If passed, the initiative would: require additional reporting for contributors and persons engaged in independent expenditure activities; increase civil penalties for failure to timely disclose; and change identification requirements for political communications.</w:t>
      </w:r>
    </w:p>
    <w:p w14:paraId="2A612503" w14:textId="77777777" w:rsidR="00EC6AD3" w:rsidRPr="00F15042" w:rsidRDefault="00EC6AD3" w:rsidP="00EC6AD3">
      <w:pPr>
        <w:spacing w:after="0"/>
        <w:rPr>
          <w:szCs w:val="24"/>
        </w:rPr>
      </w:pPr>
    </w:p>
    <w:p w14:paraId="6BD5BAA1" w14:textId="77777777" w:rsidR="00EE2A81" w:rsidRDefault="00EC6AD3" w:rsidP="00EC6AD3">
      <w:pPr>
        <w:spacing w:after="0"/>
        <w:rPr>
          <w:szCs w:val="24"/>
        </w:rPr>
      </w:pPr>
      <w:r w:rsidRPr="00F15042">
        <w:rPr>
          <w:szCs w:val="24"/>
        </w:rPr>
        <w:t>The ballot initiative, if passed, would result in additional oversight, regulation, filer education, and enforcement activities for APOC requiring</w:t>
      </w:r>
      <w:r w:rsidR="00EE2A81">
        <w:rPr>
          <w:szCs w:val="24"/>
        </w:rPr>
        <w:t>:</w:t>
      </w:r>
      <w:r w:rsidRPr="00F15042">
        <w:rPr>
          <w:szCs w:val="24"/>
        </w:rPr>
        <w:t xml:space="preserve"> </w:t>
      </w:r>
    </w:p>
    <w:p w14:paraId="0165AAD4" w14:textId="6FFB46EB" w:rsidR="00EE2A81" w:rsidRDefault="00EE2A81" w:rsidP="00EC6AD3">
      <w:pPr>
        <w:spacing w:after="0"/>
        <w:rPr>
          <w:szCs w:val="24"/>
        </w:rPr>
      </w:pPr>
      <w:r>
        <w:rPr>
          <w:szCs w:val="24"/>
        </w:rPr>
        <w:t>A</w:t>
      </w:r>
      <w:r w:rsidR="00EC6AD3" w:rsidRPr="00F15042">
        <w:rPr>
          <w:szCs w:val="24"/>
        </w:rPr>
        <w:t>n additional Associate Attorney I position (</w:t>
      </w:r>
      <w:r w:rsidR="00395BD5">
        <w:rPr>
          <w:szCs w:val="24"/>
        </w:rPr>
        <w:t xml:space="preserve">Salary Range </w:t>
      </w:r>
      <w:r w:rsidR="00EC6AD3" w:rsidRPr="00F15042">
        <w:rPr>
          <w:szCs w:val="24"/>
        </w:rPr>
        <w:t>17</w:t>
      </w:r>
      <w:r w:rsidR="00395BD5">
        <w:rPr>
          <w:szCs w:val="24"/>
        </w:rPr>
        <w:t>/</w:t>
      </w:r>
      <w:r w:rsidR="00EC6AD3" w:rsidRPr="00F15042">
        <w:rPr>
          <w:szCs w:val="24"/>
        </w:rPr>
        <w:t>A)</w:t>
      </w:r>
      <w:r>
        <w:rPr>
          <w:szCs w:val="24"/>
        </w:rPr>
        <w:t>.</w:t>
      </w:r>
      <w:r w:rsidR="00EC6AD3" w:rsidRPr="00F15042">
        <w:rPr>
          <w:szCs w:val="24"/>
        </w:rPr>
        <w:t xml:space="preserve"> </w:t>
      </w:r>
      <w:r>
        <w:rPr>
          <w:szCs w:val="24"/>
        </w:rPr>
        <w:t xml:space="preserve"> </w:t>
      </w:r>
      <w:r w:rsidR="001F5687">
        <w:rPr>
          <w:szCs w:val="24"/>
        </w:rPr>
        <w:t xml:space="preserve">Estimated cost: </w:t>
      </w:r>
      <w:r w:rsidR="00EC6AD3" w:rsidRPr="00F15042">
        <w:rPr>
          <w:szCs w:val="24"/>
        </w:rPr>
        <w:t>$91,500</w:t>
      </w:r>
    </w:p>
    <w:p w14:paraId="34572FB4" w14:textId="77777777" w:rsidR="00EE2A81" w:rsidRDefault="00EE2A81" w:rsidP="00EC6AD3">
      <w:pPr>
        <w:spacing w:after="0"/>
        <w:rPr>
          <w:szCs w:val="24"/>
        </w:rPr>
      </w:pPr>
    </w:p>
    <w:p w14:paraId="0FCDD813" w14:textId="24F458FE" w:rsidR="00EC6AD3" w:rsidRPr="00F15042" w:rsidRDefault="00EE2A81" w:rsidP="00EC6AD3">
      <w:pPr>
        <w:spacing w:after="0"/>
        <w:rPr>
          <w:szCs w:val="24"/>
        </w:rPr>
      </w:pPr>
      <w:r>
        <w:rPr>
          <w:szCs w:val="24"/>
        </w:rPr>
        <w:t>A</w:t>
      </w:r>
      <w:r w:rsidR="00EC6AD3" w:rsidRPr="00F15042">
        <w:rPr>
          <w:szCs w:val="24"/>
        </w:rPr>
        <w:t>ssociated overhead costs including computer equipment, core services, and general supplies</w:t>
      </w:r>
      <w:r w:rsidR="00AA3F18">
        <w:rPr>
          <w:szCs w:val="24"/>
        </w:rPr>
        <w:t>.</w:t>
      </w:r>
      <w:r w:rsidR="00EC6AD3" w:rsidRPr="00F15042">
        <w:rPr>
          <w:szCs w:val="24"/>
        </w:rPr>
        <w:t xml:space="preserve"> </w:t>
      </w:r>
      <w:r>
        <w:rPr>
          <w:szCs w:val="24"/>
        </w:rPr>
        <w:t xml:space="preserve"> </w:t>
      </w:r>
      <w:r w:rsidR="001F5687">
        <w:rPr>
          <w:szCs w:val="24"/>
        </w:rPr>
        <w:t xml:space="preserve">Estimated Cost: </w:t>
      </w:r>
      <w:r w:rsidR="00EC6AD3" w:rsidRPr="00F15042">
        <w:rPr>
          <w:szCs w:val="24"/>
        </w:rPr>
        <w:t>$9,000</w:t>
      </w:r>
    </w:p>
    <w:p w14:paraId="66E6FB0C" w14:textId="77777777" w:rsidR="00EC6AD3" w:rsidRPr="00F15042" w:rsidRDefault="00EC6AD3" w:rsidP="00EC6AD3">
      <w:pPr>
        <w:spacing w:after="0"/>
        <w:rPr>
          <w:szCs w:val="24"/>
        </w:rPr>
      </w:pPr>
    </w:p>
    <w:p w14:paraId="4639EF03" w14:textId="1685C49D" w:rsidR="00EC6AD3" w:rsidRPr="00F15042" w:rsidRDefault="00EC6AD3" w:rsidP="00EC6AD3">
      <w:pPr>
        <w:spacing w:after="0"/>
        <w:rPr>
          <w:szCs w:val="24"/>
        </w:rPr>
      </w:pPr>
      <w:r w:rsidRPr="00F15042">
        <w:rPr>
          <w:szCs w:val="24"/>
        </w:rPr>
        <w:t>Approximately 50 programming hours will be required to design, test, and deploy additional disclosure forms within the agency’s online filing program</w:t>
      </w:r>
      <w:r w:rsidR="00AA3F18">
        <w:rPr>
          <w:szCs w:val="24"/>
        </w:rPr>
        <w:t xml:space="preserve">. </w:t>
      </w:r>
      <w:r w:rsidR="00EE2A81">
        <w:rPr>
          <w:szCs w:val="24"/>
        </w:rPr>
        <w:t xml:space="preserve"> </w:t>
      </w:r>
      <w:r w:rsidR="00AA3F18">
        <w:rPr>
          <w:szCs w:val="24"/>
        </w:rPr>
        <w:t>Estimated Cost:</w:t>
      </w:r>
      <w:r w:rsidRPr="00F15042">
        <w:rPr>
          <w:szCs w:val="24"/>
        </w:rPr>
        <w:t xml:space="preserve"> ~$2,850</w:t>
      </w:r>
    </w:p>
    <w:sectPr w:rsidR="00EC6AD3" w:rsidRPr="00F1504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EAECF" w14:textId="77777777" w:rsidR="00E07FCE" w:rsidRDefault="00E07FCE" w:rsidP="00964C16">
      <w:pPr>
        <w:spacing w:after="0" w:line="240" w:lineRule="auto"/>
      </w:pPr>
      <w:r>
        <w:separator/>
      </w:r>
    </w:p>
  </w:endnote>
  <w:endnote w:type="continuationSeparator" w:id="0">
    <w:p w14:paraId="37488A9E" w14:textId="77777777" w:rsidR="00E07FCE" w:rsidRDefault="00E07FCE" w:rsidP="00964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F22C2" w14:textId="488248B0" w:rsidR="00964C16" w:rsidRDefault="00964C1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Office of Management and Budget</w:t>
    </w:r>
    <w:r w:rsidR="00EC6AD3">
      <w:rPr>
        <w:rFonts w:asciiTheme="majorHAnsi" w:eastAsiaTheme="majorEastAsia" w:hAnsiTheme="majorHAnsi" w:cstheme="majorBidi"/>
      </w:rPr>
      <w:t>: Estimate of Costs for 19AKBE</w:t>
    </w:r>
    <w:r w:rsidR="00DF5828">
      <w:rPr>
        <w:rFonts w:asciiTheme="majorHAnsi" w:eastAsiaTheme="majorEastAsia" w:hAnsiTheme="majorHAnsi" w:cstheme="majorBidi"/>
      </w:rPr>
      <w:tab/>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764037" w:rsidRPr="00764037">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1AB56989" w14:textId="77777777" w:rsidR="00964C16" w:rsidRDefault="00964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7BC62" w14:textId="77777777" w:rsidR="00E07FCE" w:rsidRDefault="00E07FCE" w:rsidP="00964C16">
      <w:pPr>
        <w:spacing w:after="0" w:line="240" w:lineRule="auto"/>
      </w:pPr>
      <w:r>
        <w:separator/>
      </w:r>
    </w:p>
  </w:footnote>
  <w:footnote w:type="continuationSeparator" w:id="0">
    <w:p w14:paraId="0A8321BA" w14:textId="77777777" w:rsidR="00E07FCE" w:rsidRDefault="00E07FCE" w:rsidP="00964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940F4" w14:textId="77777777" w:rsidR="00C013A2" w:rsidRPr="00C013A2" w:rsidRDefault="00E07FCE" w:rsidP="000F4BBE">
    <w:pPr>
      <w:pStyle w:val="Header"/>
      <w:pBdr>
        <w:bottom w:val="thickThinSmallGap" w:sz="24" w:space="1" w:color="622423" w:themeColor="accent2" w:themeShade="7F"/>
      </w:pBdr>
      <w:jc w:val="center"/>
      <w:rPr>
        <w:rFonts w:asciiTheme="majorHAnsi" w:eastAsiaTheme="majorEastAsia" w:hAnsiTheme="majorHAnsi" w:cstheme="majorBidi"/>
        <w:sz w:val="30"/>
        <w:szCs w:val="30"/>
      </w:rPr>
    </w:pPr>
    <w:sdt>
      <w:sdtPr>
        <w:rPr>
          <w:rFonts w:eastAsia="Times New Roman" w:cs="Arial"/>
          <w:b/>
          <w:szCs w:val="24"/>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0F4BBE" w:rsidRPr="000F4BBE">
          <w:rPr>
            <w:rFonts w:eastAsia="Times New Roman" w:cs="Arial"/>
            <w:b/>
            <w:szCs w:val="24"/>
          </w:rPr>
          <w:t xml:space="preserve">Estimate of Costs to the State of Alaska for Implementation of the Voter Initiative 19AKBE: </w:t>
        </w:r>
        <w:r w:rsidR="000F4BBE">
          <w:rPr>
            <w:rFonts w:eastAsia="Times New Roman" w:cs="Arial"/>
            <w:b/>
            <w:szCs w:val="24"/>
          </w:rPr>
          <w:t>Alaska Better Elections Initiative</w:t>
        </w:r>
      </w:sdtContent>
    </w:sdt>
  </w:p>
  <w:p w14:paraId="28DD8D7C" w14:textId="77777777" w:rsidR="00C013A2" w:rsidRDefault="00C01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6F2"/>
    <w:multiLevelType w:val="hybridMultilevel"/>
    <w:tmpl w:val="0C30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C5C4B"/>
    <w:multiLevelType w:val="hybridMultilevel"/>
    <w:tmpl w:val="06E2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124B6"/>
    <w:multiLevelType w:val="hybridMultilevel"/>
    <w:tmpl w:val="0FCA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9303F"/>
    <w:multiLevelType w:val="hybridMultilevel"/>
    <w:tmpl w:val="2DD6E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9A1D2B"/>
    <w:multiLevelType w:val="hybridMultilevel"/>
    <w:tmpl w:val="41F6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A4ADE"/>
    <w:multiLevelType w:val="hybridMultilevel"/>
    <w:tmpl w:val="C01A3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619AB"/>
    <w:multiLevelType w:val="hybridMultilevel"/>
    <w:tmpl w:val="D9308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628B4"/>
    <w:multiLevelType w:val="hybridMultilevel"/>
    <w:tmpl w:val="8BB2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40813"/>
    <w:multiLevelType w:val="hybridMultilevel"/>
    <w:tmpl w:val="EC2E4D0A"/>
    <w:lvl w:ilvl="0" w:tplc="0409000F">
      <w:start w:val="1"/>
      <w:numFmt w:val="decimal"/>
      <w:lvlText w:val="%1."/>
      <w:lvlJc w:val="left"/>
      <w:pPr>
        <w:ind w:left="720" w:hanging="360"/>
      </w:pPr>
    </w:lvl>
    <w:lvl w:ilvl="1" w:tplc="0FC2E73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81942"/>
    <w:multiLevelType w:val="hybridMultilevel"/>
    <w:tmpl w:val="44DE7984"/>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15:restartNumberingAfterBreak="0">
    <w:nsid w:val="29F12EA7"/>
    <w:multiLevelType w:val="hybridMultilevel"/>
    <w:tmpl w:val="C92AC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A079A"/>
    <w:multiLevelType w:val="hybridMultilevel"/>
    <w:tmpl w:val="9AE6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05EA9"/>
    <w:multiLevelType w:val="hybridMultilevel"/>
    <w:tmpl w:val="9486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8B5F33"/>
    <w:multiLevelType w:val="hybridMultilevel"/>
    <w:tmpl w:val="D97C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43CDF"/>
    <w:multiLevelType w:val="hybridMultilevel"/>
    <w:tmpl w:val="FBD0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7804BB"/>
    <w:multiLevelType w:val="hybridMultilevel"/>
    <w:tmpl w:val="4DF6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E3F55"/>
    <w:multiLevelType w:val="hybridMultilevel"/>
    <w:tmpl w:val="E714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A25E4"/>
    <w:multiLevelType w:val="hybridMultilevel"/>
    <w:tmpl w:val="B30C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B103F8"/>
    <w:multiLevelType w:val="hybridMultilevel"/>
    <w:tmpl w:val="BCEAE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D64D6A"/>
    <w:multiLevelType w:val="hybridMultilevel"/>
    <w:tmpl w:val="297C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746D2C"/>
    <w:multiLevelType w:val="hybridMultilevel"/>
    <w:tmpl w:val="1A4E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215ED1"/>
    <w:multiLevelType w:val="hybridMultilevel"/>
    <w:tmpl w:val="8FE6D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C3375B"/>
    <w:multiLevelType w:val="hybridMultilevel"/>
    <w:tmpl w:val="E2626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51589A"/>
    <w:multiLevelType w:val="hybridMultilevel"/>
    <w:tmpl w:val="B144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8D6814"/>
    <w:multiLevelType w:val="hybridMultilevel"/>
    <w:tmpl w:val="2E72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17"/>
  </w:num>
  <w:num w:numId="5">
    <w:abstractNumId w:val="0"/>
  </w:num>
  <w:num w:numId="6">
    <w:abstractNumId w:val="21"/>
  </w:num>
  <w:num w:numId="7">
    <w:abstractNumId w:val="20"/>
  </w:num>
  <w:num w:numId="8">
    <w:abstractNumId w:val="7"/>
  </w:num>
  <w:num w:numId="9">
    <w:abstractNumId w:val="15"/>
  </w:num>
  <w:num w:numId="10">
    <w:abstractNumId w:val="19"/>
  </w:num>
  <w:num w:numId="11">
    <w:abstractNumId w:val="14"/>
  </w:num>
  <w:num w:numId="12">
    <w:abstractNumId w:val="12"/>
  </w:num>
  <w:num w:numId="13">
    <w:abstractNumId w:val="2"/>
  </w:num>
  <w:num w:numId="14">
    <w:abstractNumId w:val="22"/>
  </w:num>
  <w:num w:numId="15">
    <w:abstractNumId w:val="10"/>
  </w:num>
  <w:num w:numId="16">
    <w:abstractNumId w:val="16"/>
  </w:num>
  <w:num w:numId="17">
    <w:abstractNumId w:val="24"/>
  </w:num>
  <w:num w:numId="18">
    <w:abstractNumId w:val="8"/>
  </w:num>
  <w:num w:numId="19">
    <w:abstractNumId w:val="3"/>
  </w:num>
  <w:num w:numId="20">
    <w:abstractNumId w:val="6"/>
  </w:num>
  <w:num w:numId="21">
    <w:abstractNumId w:val="18"/>
  </w:num>
  <w:num w:numId="22">
    <w:abstractNumId w:val="23"/>
  </w:num>
  <w:num w:numId="23">
    <w:abstractNumId w:val="13"/>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F86"/>
    <w:rsid w:val="00003F3D"/>
    <w:rsid w:val="00014D78"/>
    <w:rsid w:val="0001660B"/>
    <w:rsid w:val="00021B36"/>
    <w:rsid w:val="00037DC9"/>
    <w:rsid w:val="00042A19"/>
    <w:rsid w:val="00042EE2"/>
    <w:rsid w:val="000739E1"/>
    <w:rsid w:val="00081B62"/>
    <w:rsid w:val="00087A00"/>
    <w:rsid w:val="00090C96"/>
    <w:rsid w:val="0009162B"/>
    <w:rsid w:val="00094DBD"/>
    <w:rsid w:val="000A66C6"/>
    <w:rsid w:val="000B1355"/>
    <w:rsid w:val="000C0CEE"/>
    <w:rsid w:val="000D3554"/>
    <w:rsid w:val="000D5CC9"/>
    <w:rsid w:val="000E0FFE"/>
    <w:rsid w:val="000E2746"/>
    <w:rsid w:val="000E2B34"/>
    <w:rsid w:val="000E6BDE"/>
    <w:rsid w:val="000F4BBE"/>
    <w:rsid w:val="00101BB0"/>
    <w:rsid w:val="00112438"/>
    <w:rsid w:val="00114690"/>
    <w:rsid w:val="001208B0"/>
    <w:rsid w:val="001518D3"/>
    <w:rsid w:val="00154E65"/>
    <w:rsid w:val="00157C04"/>
    <w:rsid w:val="0017034A"/>
    <w:rsid w:val="00176D4C"/>
    <w:rsid w:val="00177E58"/>
    <w:rsid w:val="00180B87"/>
    <w:rsid w:val="001973D3"/>
    <w:rsid w:val="001B521E"/>
    <w:rsid w:val="001B7251"/>
    <w:rsid w:val="001C2B5D"/>
    <w:rsid w:val="001C3C89"/>
    <w:rsid w:val="001C6F09"/>
    <w:rsid w:val="001D3F6C"/>
    <w:rsid w:val="001D7EB0"/>
    <w:rsid w:val="001E3761"/>
    <w:rsid w:val="001E4948"/>
    <w:rsid w:val="001F5687"/>
    <w:rsid w:val="00220F9C"/>
    <w:rsid w:val="0022149A"/>
    <w:rsid w:val="00222889"/>
    <w:rsid w:val="00224ABC"/>
    <w:rsid w:val="00231DB5"/>
    <w:rsid w:val="0023395C"/>
    <w:rsid w:val="00234104"/>
    <w:rsid w:val="002430C6"/>
    <w:rsid w:val="002549C9"/>
    <w:rsid w:val="0025542A"/>
    <w:rsid w:val="00266E8B"/>
    <w:rsid w:val="00283ECE"/>
    <w:rsid w:val="00285118"/>
    <w:rsid w:val="00285163"/>
    <w:rsid w:val="002924F1"/>
    <w:rsid w:val="002A4E8E"/>
    <w:rsid w:val="002A6AA8"/>
    <w:rsid w:val="002C4F75"/>
    <w:rsid w:val="002D3818"/>
    <w:rsid w:val="002D68A1"/>
    <w:rsid w:val="002E1D40"/>
    <w:rsid w:val="002E5C0E"/>
    <w:rsid w:val="002E6204"/>
    <w:rsid w:val="002E65B1"/>
    <w:rsid w:val="002F3E1F"/>
    <w:rsid w:val="003305F1"/>
    <w:rsid w:val="00375004"/>
    <w:rsid w:val="00375015"/>
    <w:rsid w:val="00395BD5"/>
    <w:rsid w:val="00395E93"/>
    <w:rsid w:val="003A1721"/>
    <w:rsid w:val="003A58E6"/>
    <w:rsid w:val="003B2EC4"/>
    <w:rsid w:val="003C059B"/>
    <w:rsid w:val="003C32D7"/>
    <w:rsid w:val="003C5F90"/>
    <w:rsid w:val="003D0682"/>
    <w:rsid w:val="003D5C20"/>
    <w:rsid w:val="003E23B0"/>
    <w:rsid w:val="003E68B1"/>
    <w:rsid w:val="003E7CEC"/>
    <w:rsid w:val="00406519"/>
    <w:rsid w:val="0042412F"/>
    <w:rsid w:val="0043459E"/>
    <w:rsid w:val="00440C48"/>
    <w:rsid w:val="004433C1"/>
    <w:rsid w:val="00446486"/>
    <w:rsid w:val="00451CF8"/>
    <w:rsid w:val="004729C5"/>
    <w:rsid w:val="0047394F"/>
    <w:rsid w:val="00495C2C"/>
    <w:rsid w:val="004961F3"/>
    <w:rsid w:val="004A4E9B"/>
    <w:rsid w:val="004B769C"/>
    <w:rsid w:val="004C5F52"/>
    <w:rsid w:val="004D3411"/>
    <w:rsid w:val="004D6105"/>
    <w:rsid w:val="004D7B21"/>
    <w:rsid w:val="004E0ACB"/>
    <w:rsid w:val="004E2618"/>
    <w:rsid w:val="004E27CD"/>
    <w:rsid w:val="004F4C7C"/>
    <w:rsid w:val="00503E62"/>
    <w:rsid w:val="00521E05"/>
    <w:rsid w:val="005417B4"/>
    <w:rsid w:val="00543528"/>
    <w:rsid w:val="0054443B"/>
    <w:rsid w:val="00544538"/>
    <w:rsid w:val="00554C4E"/>
    <w:rsid w:val="00557ABC"/>
    <w:rsid w:val="005608E2"/>
    <w:rsid w:val="0056222D"/>
    <w:rsid w:val="00570064"/>
    <w:rsid w:val="00584E49"/>
    <w:rsid w:val="005921A0"/>
    <w:rsid w:val="005A3D48"/>
    <w:rsid w:val="005A7E08"/>
    <w:rsid w:val="005B1EE1"/>
    <w:rsid w:val="005C2F86"/>
    <w:rsid w:val="005C64C2"/>
    <w:rsid w:val="005E1C64"/>
    <w:rsid w:val="005E58DE"/>
    <w:rsid w:val="00607914"/>
    <w:rsid w:val="00611B93"/>
    <w:rsid w:val="00614E58"/>
    <w:rsid w:val="00641F88"/>
    <w:rsid w:val="00667EFA"/>
    <w:rsid w:val="00671093"/>
    <w:rsid w:val="00672E91"/>
    <w:rsid w:val="006933DF"/>
    <w:rsid w:val="006B1722"/>
    <w:rsid w:val="006B1E24"/>
    <w:rsid w:val="006B7734"/>
    <w:rsid w:val="006C77FA"/>
    <w:rsid w:val="006D47AF"/>
    <w:rsid w:val="006E06A3"/>
    <w:rsid w:val="006E65AD"/>
    <w:rsid w:val="006F0AC7"/>
    <w:rsid w:val="00705036"/>
    <w:rsid w:val="0071311F"/>
    <w:rsid w:val="00714B5C"/>
    <w:rsid w:val="00727FE0"/>
    <w:rsid w:val="00732C44"/>
    <w:rsid w:val="0073737D"/>
    <w:rsid w:val="00744DC0"/>
    <w:rsid w:val="00750780"/>
    <w:rsid w:val="007616ED"/>
    <w:rsid w:val="00764037"/>
    <w:rsid w:val="00765B88"/>
    <w:rsid w:val="0078059F"/>
    <w:rsid w:val="00786CC7"/>
    <w:rsid w:val="00791867"/>
    <w:rsid w:val="007922C7"/>
    <w:rsid w:val="00794013"/>
    <w:rsid w:val="007951F2"/>
    <w:rsid w:val="007A06D0"/>
    <w:rsid w:val="007A3354"/>
    <w:rsid w:val="007C4853"/>
    <w:rsid w:val="007C72FD"/>
    <w:rsid w:val="008029CC"/>
    <w:rsid w:val="008064B5"/>
    <w:rsid w:val="008225F4"/>
    <w:rsid w:val="00827F18"/>
    <w:rsid w:val="0083409A"/>
    <w:rsid w:val="00841E49"/>
    <w:rsid w:val="00845B9A"/>
    <w:rsid w:val="00856A60"/>
    <w:rsid w:val="00884D68"/>
    <w:rsid w:val="008874A5"/>
    <w:rsid w:val="00892660"/>
    <w:rsid w:val="008968EB"/>
    <w:rsid w:val="008A4B50"/>
    <w:rsid w:val="008C2D46"/>
    <w:rsid w:val="008C40C7"/>
    <w:rsid w:val="008D687C"/>
    <w:rsid w:val="008E3882"/>
    <w:rsid w:val="008E3F72"/>
    <w:rsid w:val="008E61BB"/>
    <w:rsid w:val="008F019C"/>
    <w:rsid w:val="00903F6D"/>
    <w:rsid w:val="00904CE1"/>
    <w:rsid w:val="009140A6"/>
    <w:rsid w:val="0093096A"/>
    <w:rsid w:val="00933E11"/>
    <w:rsid w:val="009353B8"/>
    <w:rsid w:val="00935FC0"/>
    <w:rsid w:val="00955A8B"/>
    <w:rsid w:val="00964C16"/>
    <w:rsid w:val="00974072"/>
    <w:rsid w:val="009743F7"/>
    <w:rsid w:val="00974F14"/>
    <w:rsid w:val="009A1D44"/>
    <w:rsid w:val="009B14D2"/>
    <w:rsid w:val="009B2871"/>
    <w:rsid w:val="009B4E61"/>
    <w:rsid w:val="00A12DA7"/>
    <w:rsid w:val="00A2782D"/>
    <w:rsid w:val="00A27ECB"/>
    <w:rsid w:val="00A32710"/>
    <w:rsid w:val="00A34C2A"/>
    <w:rsid w:val="00A430D9"/>
    <w:rsid w:val="00A448BF"/>
    <w:rsid w:val="00A463D5"/>
    <w:rsid w:val="00A5112B"/>
    <w:rsid w:val="00A5404F"/>
    <w:rsid w:val="00A5676A"/>
    <w:rsid w:val="00A679F9"/>
    <w:rsid w:val="00A760EA"/>
    <w:rsid w:val="00A77E38"/>
    <w:rsid w:val="00A808BD"/>
    <w:rsid w:val="00A91856"/>
    <w:rsid w:val="00A926DA"/>
    <w:rsid w:val="00A93901"/>
    <w:rsid w:val="00AA07DC"/>
    <w:rsid w:val="00AA2C05"/>
    <w:rsid w:val="00AA3F18"/>
    <w:rsid w:val="00AA5685"/>
    <w:rsid w:val="00AB5325"/>
    <w:rsid w:val="00AC7588"/>
    <w:rsid w:val="00AD2100"/>
    <w:rsid w:val="00B02689"/>
    <w:rsid w:val="00B03A7E"/>
    <w:rsid w:val="00B07AF1"/>
    <w:rsid w:val="00B233F6"/>
    <w:rsid w:val="00B254F4"/>
    <w:rsid w:val="00B309E4"/>
    <w:rsid w:val="00B37DEC"/>
    <w:rsid w:val="00B43CD1"/>
    <w:rsid w:val="00B5385D"/>
    <w:rsid w:val="00B613B3"/>
    <w:rsid w:val="00B63ACB"/>
    <w:rsid w:val="00B66308"/>
    <w:rsid w:val="00B67494"/>
    <w:rsid w:val="00B71C73"/>
    <w:rsid w:val="00B8162F"/>
    <w:rsid w:val="00B8342C"/>
    <w:rsid w:val="00B84567"/>
    <w:rsid w:val="00B905D6"/>
    <w:rsid w:val="00B94067"/>
    <w:rsid w:val="00B97D27"/>
    <w:rsid w:val="00BA0DD1"/>
    <w:rsid w:val="00BA2E0F"/>
    <w:rsid w:val="00BA4392"/>
    <w:rsid w:val="00BB05C4"/>
    <w:rsid w:val="00BB5873"/>
    <w:rsid w:val="00BC5F54"/>
    <w:rsid w:val="00BD581E"/>
    <w:rsid w:val="00BF0975"/>
    <w:rsid w:val="00BF7218"/>
    <w:rsid w:val="00C00224"/>
    <w:rsid w:val="00C013A2"/>
    <w:rsid w:val="00C17E9D"/>
    <w:rsid w:val="00C24205"/>
    <w:rsid w:val="00C33C73"/>
    <w:rsid w:val="00C353EB"/>
    <w:rsid w:val="00C36333"/>
    <w:rsid w:val="00C413DD"/>
    <w:rsid w:val="00C4541E"/>
    <w:rsid w:val="00C5064A"/>
    <w:rsid w:val="00C53E65"/>
    <w:rsid w:val="00C90261"/>
    <w:rsid w:val="00CA061D"/>
    <w:rsid w:val="00CA3500"/>
    <w:rsid w:val="00CA7B56"/>
    <w:rsid w:val="00CB3F87"/>
    <w:rsid w:val="00CC0A51"/>
    <w:rsid w:val="00CD04C9"/>
    <w:rsid w:val="00CD1EBF"/>
    <w:rsid w:val="00CF64A1"/>
    <w:rsid w:val="00D15497"/>
    <w:rsid w:val="00D23820"/>
    <w:rsid w:val="00D40FA0"/>
    <w:rsid w:val="00D5682E"/>
    <w:rsid w:val="00D744B8"/>
    <w:rsid w:val="00D85032"/>
    <w:rsid w:val="00DA54CA"/>
    <w:rsid w:val="00DA5E0E"/>
    <w:rsid w:val="00DC0D58"/>
    <w:rsid w:val="00DC1191"/>
    <w:rsid w:val="00DC12BF"/>
    <w:rsid w:val="00DD0F5E"/>
    <w:rsid w:val="00DD52F1"/>
    <w:rsid w:val="00DD6963"/>
    <w:rsid w:val="00DD6F88"/>
    <w:rsid w:val="00DE0A72"/>
    <w:rsid w:val="00DE218E"/>
    <w:rsid w:val="00DE4AE8"/>
    <w:rsid w:val="00DE6AEA"/>
    <w:rsid w:val="00DF3F1A"/>
    <w:rsid w:val="00DF5828"/>
    <w:rsid w:val="00E07FCE"/>
    <w:rsid w:val="00E116A9"/>
    <w:rsid w:val="00E15035"/>
    <w:rsid w:val="00E24D3B"/>
    <w:rsid w:val="00E25EFB"/>
    <w:rsid w:val="00E371F2"/>
    <w:rsid w:val="00E46CBB"/>
    <w:rsid w:val="00E47932"/>
    <w:rsid w:val="00E92E32"/>
    <w:rsid w:val="00EA10CB"/>
    <w:rsid w:val="00EC6AD3"/>
    <w:rsid w:val="00EC7C90"/>
    <w:rsid w:val="00ED2ECC"/>
    <w:rsid w:val="00ED5673"/>
    <w:rsid w:val="00EE2A81"/>
    <w:rsid w:val="00EF1A9D"/>
    <w:rsid w:val="00EF6145"/>
    <w:rsid w:val="00F0318B"/>
    <w:rsid w:val="00F06FC8"/>
    <w:rsid w:val="00F149FF"/>
    <w:rsid w:val="00F15042"/>
    <w:rsid w:val="00F20B55"/>
    <w:rsid w:val="00F43053"/>
    <w:rsid w:val="00F73232"/>
    <w:rsid w:val="00F74384"/>
    <w:rsid w:val="00FA264E"/>
    <w:rsid w:val="00FA711B"/>
    <w:rsid w:val="00FA76A1"/>
    <w:rsid w:val="00FE715F"/>
    <w:rsid w:val="00FF2C12"/>
    <w:rsid w:val="00FF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50576"/>
  <w15:docId w15:val="{03C671BA-2A4D-41A0-9AFE-4348E6EA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F86"/>
    <w:pPr>
      <w:ind w:left="720"/>
      <w:contextualSpacing/>
    </w:pPr>
  </w:style>
  <w:style w:type="paragraph" w:styleId="BalloonText">
    <w:name w:val="Balloon Text"/>
    <w:basedOn w:val="Normal"/>
    <w:link w:val="BalloonTextChar"/>
    <w:uiPriority w:val="99"/>
    <w:semiHidden/>
    <w:unhideWhenUsed/>
    <w:rsid w:val="00503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E62"/>
    <w:rPr>
      <w:rFonts w:ascii="Tahoma" w:hAnsi="Tahoma" w:cs="Tahoma"/>
      <w:sz w:val="16"/>
      <w:szCs w:val="16"/>
    </w:rPr>
  </w:style>
  <w:style w:type="paragraph" w:styleId="Header">
    <w:name w:val="header"/>
    <w:basedOn w:val="Normal"/>
    <w:link w:val="HeaderChar"/>
    <w:uiPriority w:val="99"/>
    <w:unhideWhenUsed/>
    <w:rsid w:val="00964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C16"/>
  </w:style>
  <w:style w:type="paragraph" w:styleId="Footer">
    <w:name w:val="footer"/>
    <w:basedOn w:val="Normal"/>
    <w:link w:val="FooterChar"/>
    <w:uiPriority w:val="99"/>
    <w:unhideWhenUsed/>
    <w:rsid w:val="00964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C16"/>
  </w:style>
  <w:style w:type="character" w:styleId="Hyperlink">
    <w:name w:val="Hyperlink"/>
    <w:basedOn w:val="DefaultParagraphFont"/>
    <w:uiPriority w:val="99"/>
    <w:unhideWhenUsed/>
    <w:rsid w:val="00090C96"/>
    <w:rPr>
      <w:color w:val="0000FF" w:themeColor="hyperlink"/>
      <w:u w:val="single"/>
    </w:rPr>
  </w:style>
  <w:style w:type="paragraph" w:styleId="NoSpacing">
    <w:name w:val="No Spacing"/>
    <w:uiPriority w:val="1"/>
    <w:qFormat/>
    <w:rsid w:val="00AA5685"/>
    <w:pPr>
      <w:spacing w:after="0" w:line="240" w:lineRule="auto"/>
    </w:pPr>
  </w:style>
  <w:style w:type="paragraph" w:styleId="FootnoteText">
    <w:name w:val="footnote text"/>
    <w:basedOn w:val="Normal"/>
    <w:link w:val="FootnoteTextChar"/>
    <w:uiPriority w:val="99"/>
    <w:semiHidden/>
    <w:unhideWhenUsed/>
    <w:rsid w:val="00D744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44B8"/>
    <w:rPr>
      <w:sz w:val="20"/>
      <w:szCs w:val="20"/>
    </w:rPr>
  </w:style>
  <w:style w:type="character" w:styleId="FootnoteReference">
    <w:name w:val="footnote reference"/>
    <w:basedOn w:val="DefaultParagraphFont"/>
    <w:uiPriority w:val="99"/>
    <w:semiHidden/>
    <w:unhideWhenUsed/>
    <w:rsid w:val="00D744B8"/>
    <w:rPr>
      <w:vertAlign w:val="superscript"/>
    </w:rPr>
  </w:style>
  <w:style w:type="character" w:styleId="CommentReference">
    <w:name w:val="annotation reference"/>
    <w:basedOn w:val="DefaultParagraphFont"/>
    <w:uiPriority w:val="99"/>
    <w:semiHidden/>
    <w:unhideWhenUsed/>
    <w:rsid w:val="00935FC0"/>
    <w:rPr>
      <w:sz w:val="16"/>
      <w:szCs w:val="16"/>
    </w:rPr>
  </w:style>
  <w:style w:type="paragraph" w:styleId="CommentText">
    <w:name w:val="annotation text"/>
    <w:basedOn w:val="Normal"/>
    <w:link w:val="CommentTextChar"/>
    <w:uiPriority w:val="99"/>
    <w:semiHidden/>
    <w:unhideWhenUsed/>
    <w:rsid w:val="00935FC0"/>
    <w:pPr>
      <w:spacing w:line="240" w:lineRule="auto"/>
    </w:pPr>
    <w:rPr>
      <w:sz w:val="20"/>
      <w:szCs w:val="20"/>
    </w:rPr>
  </w:style>
  <w:style w:type="character" w:customStyle="1" w:styleId="CommentTextChar">
    <w:name w:val="Comment Text Char"/>
    <w:basedOn w:val="DefaultParagraphFont"/>
    <w:link w:val="CommentText"/>
    <w:uiPriority w:val="99"/>
    <w:semiHidden/>
    <w:rsid w:val="00935FC0"/>
    <w:rPr>
      <w:sz w:val="20"/>
      <w:szCs w:val="20"/>
    </w:rPr>
  </w:style>
  <w:style w:type="paragraph" w:styleId="CommentSubject">
    <w:name w:val="annotation subject"/>
    <w:basedOn w:val="CommentText"/>
    <w:next w:val="CommentText"/>
    <w:link w:val="CommentSubjectChar"/>
    <w:uiPriority w:val="99"/>
    <w:semiHidden/>
    <w:unhideWhenUsed/>
    <w:rsid w:val="00935FC0"/>
    <w:rPr>
      <w:b/>
      <w:bCs/>
    </w:rPr>
  </w:style>
  <w:style w:type="character" w:customStyle="1" w:styleId="CommentSubjectChar">
    <w:name w:val="Comment Subject Char"/>
    <w:basedOn w:val="CommentTextChar"/>
    <w:link w:val="CommentSubject"/>
    <w:uiPriority w:val="99"/>
    <w:semiHidden/>
    <w:rsid w:val="00935FC0"/>
    <w:rPr>
      <w:b/>
      <w:bCs/>
      <w:sz w:val="20"/>
      <w:szCs w:val="20"/>
    </w:rPr>
  </w:style>
  <w:style w:type="paragraph" w:styleId="NormalWeb">
    <w:name w:val="Normal (Web)"/>
    <w:basedOn w:val="Normal"/>
    <w:uiPriority w:val="99"/>
    <w:semiHidden/>
    <w:unhideWhenUsed/>
    <w:rsid w:val="00750780"/>
    <w:pPr>
      <w:spacing w:before="100" w:beforeAutospacing="1" w:after="100" w:afterAutospacing="1" w:line="240" w:lineRule="auto"/>
    </w:pPr>
    <w:rPr>
      <w:rFonts w:ascii="Calibri" w:hAnsi="Calibri" w:cs="Calibri"/>
      <w:sz w:val="22"/>
    </w:rPr>
  </w:style>
  <w:style w:type="paragraph" w:styleId="Revision">
    <w:name w:val="Revision"/>
    <w:hidden/>
    <w:uiPriority w:val="99"/>
    <w:semiHidden/>
    <w:rsid w:val="001518D3"/>
    <w:pPr>
      <w:spacing w:after="0" w:line="240" w:lineRule="auto"/>
    </w:pPr>
  </w:style>
  <w:style w:type="table" w:styleId="TableGrid">
    <w:name w:val="Table Grid"/>
    <w:basedOn w:val="TableNormal"/>
    <w:uiPriority w:val="59"/>
    <w:rsid w:val="000F4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862611">
      <w:bodyDiv w:val="1"/>
      <w:marLeft w:val="0"/>
      <w:marRight w:val="0"/>
      <w:marTop w:val="0"/>
      <w:marBottom w:val="0"/>
      <w:divBdr>
        <w:top w:val="none" w:sz="0" w:space="0" w:color="auto"/>
        <w:left w:val="none" w:sz="0" w:space="0" w:color="auto"/>
        <w:bottom w:val="none" w:sz="0" w:space="0" w:color="auto"/>
        <w:right w:val="none" w:sz="0" w:space="0" w:color="auto"/>
      </w:divBdr>
    </w:div>
    <w:div w:id="312639342">
      <w:bodyDiv w:val="1"/>
      <w:marLeft w:val="0"/>
      <w:marRight w:val="0"/>
      <w:marTop w:val="0"/>
      <w:marBottom w:val="0"/>
      <w:divBdr>
        <w:top w:val="none" w:sz="0" w:space="0" w:color="auto"/>
        <w:left w:val="none" w:sz="0" w:space="0" w:color="auto"/>
        <w:bottom w:val="none" w:sz="0" w:space="0" w:color="auto"/>
        <w:right w:val="none" w:sz="0" w:space="0" w:color="auto"/>
      </w:divBdr>
    </w:div>
    <w:div w:id="829712006">
      <w:bodyDiv w:val="1"/>
      <w:marLeft w:val="0"/>
      <w:marRight w:val="0"/>
      <w:marTop w:val="0"/>
      <w:marBottom w:val="0"/>
      <w:divBdr>
        <w:top w:val="none" w:sz="0" w:space="0" w:color="auto"/>
        <w:left w:val="none" w:sz="0" w:space="0" w:color="auto"/>
        <w:bottom w:val="none" w:sz="0" w:space="0" w:color="auto"/>
        <w:right w:val="none" w:sz="0" w:space="0" w:color="auto"/>
      </w:divBdr>
    </w:div>
    <w:div w:id="990795638">
      <w:bodyDiv w:val="1"/>
      <w:marLeft w:val="0"/>
      <w:marRight w:val="0"/>
      <w:marTop w:val="0"/>
      <w:marBottom w:val="0"/>
      <w:divBdr>
        <w:top w:val="none" w:sz="0" w:space="0" w:color="auto"/>
        <w:left w:val="none" w:sz="0" w:space="0" w:color="auto"/>
        <w:bottom w:val="none" w:sz="0" w:space="0" w:color="auto"/>
        <w:right w:val="none" w:sz="0" w:space="0" w:color="auto"/>
      </w:divBdr>
    </w:div>
    <w:div w:id="115245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F1DCC-8E5E-4ECB-8E96-5C6FBE7F2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Estimate of Costs to the State of Alaska for Implementation of the Voter Initiative 19AKBE: Alaska Better Elections Initiative</vt:lpstr>
    </vt:vector>
  </TitlesOfParts>
  <Company>Microsoft</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Estimate of Costs to the State of Alaska for Implementation of the Voter Initiative 19AKBE: Alaska Better Elections Initiative</dc:title>
  <dc:creator>BWFECHTER</dc:creator>
  <cp:lastModifiedBy>Brian W. Fechter</cp:lastModifiedBy>
  <cp:revision>3</cp:revision>
  <cp:lastPrinted>2017-04-22T00:42:00Z</cp:lastPrinted>
  <dcterms:created xsi:type="dcterms:W3CDTF">2019-08-19T16:50:00Z</dcterms:created>
  <dcterms:modified xsi:type="dcterms:W3CDTF">2019-08-19T16:53:00Z</dcterms:modified>
</cp:coreProperties>
</file>