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11" w:rsidRPr="008F3CBF" w:rsidRDefault="008F3CBF">
      <w:pPr>
        <w:rPr>
          <w:rFonts w:ascii="Arial" w:hAnsi="Arial" w:cs="Arial"/>
          <w:b/>
          <w:sz w:val="20"/>
          <w:szCs w:val="20"/>
        </w:rPr>
      </w:pPr>
      <w:r w:rsidRPr="008F3CBF">
        <w:rPr>
          <w:rFonts w:ascii="Arial" w:hAnsi="Arial" w:cs="Arial"/>
          <w:b/>
          <w:sz w:val="20"/>
          <w:szCs w:val="20"/>
        </w:rPr>
        <w:t>Project Budget</w:t>
      </w:r>
    </w:p>
    <w:p w:rsidR="008F3CBF" w:rsidRDefault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8F3CBF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Services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8F3CBF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Services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E81061" w:rsidRDefault="00E81061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Fiscal A</w:t>
            </w: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 xml:space="preserve">gency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</w:t>
            </w: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verhead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Costs</w:t>
            </w: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 xml:space="preserve"> (includes other administrative costs, if any)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Fiscal A</w:t>
            </w: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 xml:space="preserve">gency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O</w:t>
            </w: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verhead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8F3CBF" w:rsidRDefault="008F3CBF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Travel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Travel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8F3CBF" w:rsidRDefault="008F3CBF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Supplies/Equipment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Supplies/Equipment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8F3CBF" w:rsidRDefault="008F3CBF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 xml:space="preserve">Contractual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Costs</w:t>
            </w:r>
            <w:bookmarkStart w:id="0" w:name="_GoBack"/>
            <w:bookmarkEnd w:id="0"/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 xml:space="preserve">Contractual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8F3CBF" w:rsidRDefault="008F3CBF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Other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F3CBF">
              <w:rPr>
                <w:rFonts w:ascii="Arial" w:hAnsi="Arial" w:cs="Arial"/>
                <w:spacing w:val="-5"/>
                <w:sz w:val="20"/>
                <w:szCs w:val="20"/>
              </w:rPr>
              <w:t>$</w:t>
            </w:r>
          </w:p>
        </w:tc>
      </w:tr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65C8">
              <w:rPr>
                <w:rFonts w:ascii="Arial" w:hAnsi="Arial" w:cs="Arial"/>
                <w:color w:val="444444"/>
                <w:sz w:val="20"/>
                <w:szCs w:val="20"/>
              </w:rPr>
              <w:t>Other</w:t>
            </w:r>
            <w:r w:rsidRPr="008F3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CBF">
              <w:rPr>
                <w:rFonts w:ascii="Arial" w:hAnsi="Arial" w:cs="Arial"/>
                <w:sz w:val="20"/>
                <w:szCs w:val="20"/>
              </w:rPr>
              <w:t>Narrative: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</w:tbl>
    <w:p w:rsidR="008F3CBF" w:rsidRDefault="008F3CBF" w:rsidP="008F3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DCC7E0"/>
          <w:left w:val="single" w:sz="4" w:space="0" w:color="DCC7E0"/>
          <w:bottom w:val="single" w:sz="4" w:space="0" w:color="DCC7E0"/>
          <w:right w:val="single" w:sz="4" w:space="0" w:color="DCC7E0"/>
          <w:insideH w:val="single" w:sz="4" w:space="0" w:color="DCC7E0"/>
          <w:insideV w:val="single" w:sz="4" w:space="0" w:color="DCC7E0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8F3CBF" w:rsidTr="00121239">
        <w:tc>
          <w:tcPr>
            <w:tcW w:w="324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  <w:hideMark/>
          </w:tcPr>
          <w:p w:rsidR="008F3CBF" w:rsidRPr="008F3CBF" w:rsidRDefault="008F3CBF" w:rsidP="008F3CBF">
            <w:pPr>
              <w:pStyle w:val="MainBody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3CBF">
              <w:rPr>
                <w:rFonts w:ascii="Arial" w:hAnsi="Arial" w:cs="Arial"/>
                <w:b/>
                <w:sz w:val="20"/>
                <w:szCs w:val="20"/>
              </w:rPr>
              <w:t>Grant Total for FY16</w:t>
            </w:r>
          </w:p>
        </w:tc>
        <w:tc>
          <w:tcPr>
            <w:tcW w:w="6210" w:type="dxa"/>
            <w:tcBorders>
              <w:top w:val="single" w:sz="4" w:space="0" w:color="DCC7E0"/>
              <w:left w:val="single" w:sz="4" w:space="0" w:color="DCC7E0"/>
              <w:bottom w:val="single" w:sz="4" w:space="0" w:color="DCC7E0"/>
              <w:right w:val="single" w:sz="4" w:space="0" w:color="DCC7E0"/>
            </w:tcBorders>
          </w:tcPr>
          <w:p w:rsidR="008F3CBF" w:rsidRPr="008F3CBF" w:rsidRDefault="008F3CBF" w:rsidP="008F3CBF">
            <w:pPr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>$</w:t>
            </w:r>
          </w:p>
        </w:tc>
      </w:tr>
    </w:tbl>
    <w:p w:rsidR="008F3CBF" w:rsidRPr="00AE65C8" w:rsidRDefault="008F3CBF" w:rsidP="00AE65C8">
      <w:pPr>
        <w:rPr>
          <w:rFonts w:ascii="Arial" w:hAnsi="Arial" w:cs="Arial"/>
          <w:sz w:val="20"/>
          <w:szCs w:val="20"/>
        </w:rPr>
      </w:pPr>
    </w:p>
    <w:sectPr w:rsidR="008F3CBF" w:rsidRPr="00AE65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BA" w:rsidRDefault="00A248BA" w:rsidP="00E81061">
      <w:r>
        <w:separator/>
      </w:r>
    </w:p>
  </w:endnote>
  <w:endnote w:type="continuationSeparator" w:id="0">
    <w:p w:rsidR="00A248BA" w:rsidRDefault="00A248BA" w:rsidP="00E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BA" w:rsidRDefault="00A248BA" w:rsidP="00E81061">
      <w:r>
        <w:separator/>
      </w:r>
    </w:p>
  </w:footnote>
  <w:footnote w:type="continuationSeparator" w:id="0">
    <w:p w:rsidR="00A248BA" w:rsidRDefault="00A248BA" w:rsidP="00E8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61" w:rsidRDefault="00E81061">
    <w:pPr>
      <w:pStyle w:val="Header"/>
    </w:pPr>
    <w:r>
      <w:t>Appendix C. Project Budget and Narrative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61"/>
    <w:rsid w:val="003626B3"/>
    <w:rsid w:val="00380D43"/>
    <w:rsid w:val="003C3254"/>
    <w:rsid w:val="008F3CBF"/>
    <w:rsid w:val="009A1111"/>
    <w:rsid w:val="00A248BA"/>
    <w:rsid w:val="00AE65C8"/>
    <w:rsid w:val="00D91760"/>
    <w:rsid w:val="00DF0CB3"/>
    <w:rsid w:val="00E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D98D-879D-4144-8FF3-01495BC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61"/>
    <w:rPr>
      <w:rFonts w:ascii="Calibri" w:hAnsi="Calibri" w:cs="Times New Roman"/>
    </w:rPr>
  </w:style>
  <w:style w:type="character" w:customStyle="1" w:styleId="MainBodyChar">
    <w:name w:val="Main Body Char"/>
    <w:link w:val="MainBody"/>
    <w:locked/>
    <w:rsid w:val="008F3CBF"/>
    <w:rPr>
      <w:rFonts w:ascii="Calibri" w:hAnsi="Calibri"/>
      <w:sz w:val="24"/>
    </w:rPr>
  </w:style>
  <w:style w:type="paragraph" w:customStyle="1" w:styleId="MainBody">
    <w:name w:val="Main Body"/>
    <w:basedOn w:val="Normal"/>
    <w:link w:val="MainBodyChar"/>
    <w:rsid w:val="008F3CBF"/>
    <w:pPr>
      <w:ind w:left="432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DOR-SOA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Natasha M (DOR)</dc:creator>
  <cp:lastModifiedBy>Keller, Valette A (DOR)</cp:lastModifiedBy>
  <cp:revision>3</cp:revision>
  <dcterms:created xsi:type="dcterms:W3CDTF">2015-06-26T00:14:00Z</dcterms:created>
  <dcterms:modified xsi:type="dcterms:W3CDTF">2015-06-26T00:23:00Z</dcterms:modified>
</cp:coreProperties>
</file>